
<file path=[Content_Types].xml><?xml version="1.0" encoding="utf-8"?>
<Types xmlns="http://schemas.openxmlformats.org/package/2006/content-types">
  <Default Extension="wmf" ContentType="image/x-wmf"/>
  <Default Extension="png" ContentType="image/png"/>
  <Default Extension="jpeg" ContentType="image/jpeg"/>
  <Default Extension="xml" ContentType="application/xml"/>
  <Default Extension="rels" ContentType="application/vnd.openxmlformats-package.relationships+xml"/>
  <Default Extension="bin" ContentType="application/vnd.openxmlformats-officedocument.oleObject"/>
  <Override PartName="/docProps/core.xml" ContentType="application/vnd.openxmlformats-package.core-properties+xml"/>
  <Override PartName="/docProps/app.xml" ContentType="application/vnd.openxmlformats-officedocument.extended-properties+xml"/>
  <Override PartName="/word/numbering.xml" ContentType="application/vnd.openxmlformats-officedocument.wordprocessingml.numbering+xml"/>
  <Override PartName="/word/header2.xml" ContentType="application/vnd.openxmlformats-officedocument.wordprocessingml.header+xml"/>
  <Override PartName="/word/header1.xml" ContentType="application/vnd.openxmlformats-officedocument.wordprocessingml.header+xml"/>
  <Override PartName="/word/endnotes.xml" ContentType="application/vnd.openxmlformats-officedocument.wordprocessingml.endnotes+xml"/>
  <Override PartName="/word/theme/theme1.xml" ContentType="application/vnd.openxmlformats-officedocument.theme+xml"/>
  <Override PartName="/word/fontTable.xml" ContentType="application/vnd.openxmlformats-officedocument.wordprocessingml.fontTable+xml"/>
  <Override PartName="/word/header3.xml" ContentType="application/vnd.openxmlformats-officedocument.wordprocessingml.header+xml"/>
  <Override PartName="/word/webSettings.xml" ContentType="application/vnd.openxmlformats-officedocument.wordprocessingml.webSettings+xml"/>
  <Override PartName="/word/settings.xml" ContentType="application/vnd.openxmlformats-officedocument.wordprocessingml.settings+xml"/>
  <Override PartName="/word/document.xml" ContentType="application/vnd.openxmlformats-officedocument.wordprocessingml.document.main+xml"/>
  <Override PartName="/word/footnotes.xml" ContentType="application/vnd.openxmlformats-officedocument.wordprocessingml.footnotes+xml"/>
  <Override PartName="/word/styles.xml" ContentType="application/vnd.openxmlformats-officedocument.wordprocessingml.styles+xml"/>
  <Override PartName="/customXml/itemProps1.xml" ContentType="application/vnd.openxmlformats-officedocument.customXmlProperties+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a="http://schemas.openxmlformats.org/drawingml/2006/main" xmlns:wne="http://schemas.microsoft.com/office/word/2006/wordml" xmlns:wps="http://schemas.microsoft.com/office/word/2010/wordprocessingShape" mc:Ignorable="w14 w15 wp14">
  <w:body>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Приложение </w:t>
      </w: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32</w:t>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                                            к </w:t>
      </w:r>
      <w:r>
        <w:rPr>
          <w:rFonts w:ascii="Times New Roman" w:hAnsi="Times New Roman" w:eastAsia="Times New Roman" w:cs="Times New Roman"/>
          <w:color w:val="000000"/>
          <w:sz w:val="28"/>
          <w:szCs w:val="28"/>
        </w:rPr>
        <w:t xml:space="preserve">приказу Росрыболовства</w:t>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от </w:t>
      </w: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28»</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апреля </w:t>
      </w:r>
      <w:r>
        <w:rPr>
          <w:rFonts w:ascii="Times New Roman" w:hAnsi="Times New Roman" w:eastAsia="Times New Roman" w:cs="Times New Roman"/>
          <w:color w:val="000000"/>
          <w:sz w:val="28"/>
          <w:szCs w:val="28"/>
        </w:rPr>
        <w:t xml:space="preserve">20</w:t>
      </w:r>
      <w:r>
        <w:rPr>
          <w:rFonts w:ascii="Times New Roman" w:hAnsi="Times New Roman" w:eastAsia="Times New Roman" w:cs="Times New Roman"/>
          <w:color w:val="000000"/>
          <w:sz w:val="28"/>
          <w:szCs w:val="28"/>
        </w:rPr>
        <w:t xml:space="preserve">25</w:t>
      </w:r>
      <w:r>
        <w:rPr>
          <w:rFonts w:ascii="Times New Roman" w:hAnsi="Times New Roman" w:eastAsia="Times New Roman" w:cs="Times New Roman"/>
          <w:color w:val="000000"/>
          <w:sz w:val="28"/>
          <w:szCs w:val="28"/>
        </w:rPr>
        <w:t xml:space="preserve"> г. №</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244</w:t>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b/>
          <w:bCs/>
          <w:color w:val="000000"/>
          <w:sz w:val="28"/>
          <w:szCs w:val="28"/>
          <w:u w:val="single"/>
        </w:rPr>
        <w:t xml:space="preserve">ЛОТ № 16 </w:t>
      </w:r>
      <w:r>
        <w:rPr>
          <w:rFonts w:ascii="Times New Roman" w:hAnsi="Times New Roman" w:eastAsia="Times New Roman" w:cs="Times New Roman"/>
          <w:color w:val="000000"/>
          <w:sz w:val="28"/>
          <w:szCs w:val="28"/>
        </w:rPr>
        <w:t xml:space="preserve">                                      </w:t>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jc w:val="center"/>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b/>
          <w:color w:val="000000"/>
          <w:sz w:val="28"/>
          <w:szCs w:val="28"/>
        </w:rPr>
        <w:t xml:space="preserve">Документация </w:t>
      </w:r>
      <w:r>
        <w:rPr>
          <w:rFonts w:ascii="Times New Roman" w:hAnsi="Times New Roman" w:eastAsia="Times New Roman" w:cs="Times New Roman"/>
          <w:b/>
          <w:color w:val="000000"/>
          <w:sz w:val="28"/>
          <w:szCs w:val="28"/>
        </w:rPr>
        <w:t xml:space="preserve">об </w:t>
      </w:r>
      <w:r>
        <w:rPr>
          <w:rFonts w:ascii="Times New Roman" w:hAnsi="Times New Roman" w:eastAsia="Times New Roman" w:cs="Times New Roman"/>
          <w:b/>
          <w:color w:val="000000"/>
          <w:sz w:val="28"/>
          <w:szCs w:val="28"/>
        </w:rPr>
        <w:t xml:space="preserve">аукцион</w:t>
      </w:r>
      <w:r>
        <w:rPr>
          <w:rFonts w:ascii="Times New Roman" w:hAnsi="Times New Roman" w:eastAsia="Times New Roman" w:cs="Times New Roman"/>
          <w:b/>
          <w:color w:val="000000"/>
          <w:sz w:val="28"/>
          <w:szCs w:val="28"/>
        </w:rPr>
        <w:t xml:space="preserve">е</w:t>
      </w:r>
      <w:r>
        <w:rPr>
          <w:rFonts w:ascii="Times New Roman" w:hAnsi="Times New Roman" w:cs="Times New Roman"/>
          <w:sz w:val="28"/>
          <w:szCs w:val="28"/>
        </w:rPr>
        <w:t xml:space="preserve"> </w:t>
      </w:r>
      <w:r>
        <w:rPr>
          <w:rFonts w:ascii="Times New Roman" w:hAnsi="Times New Roman" w:cs="Times New Roman"/>
          <w:b/>
          <w:sz w:val="28"/>
          <w:szCs w:val="28"/>
        </w:rPr>
        <w:t xml:space="preserve">в электронной форме</w:t>
      </w:r>
      <w:r>
        <w:rPr>
          <w:rFonts w:ascii="Times New Roman" w:hAnsi="Times New Roman" w:cs="Times New Roman"/>
          <w:b/>
          <w:color w:val="000000"/>
          <w:sz w:val="28"/>
          <w:szCs w:val="28"/>
        </w:rPr>
        <w:t xml:space="preserve"> </w:t>
      </w:r>
      <w:r>
        <w:rPr>
          <w:rFonts w:ascii="Times New Roman" w:hAnsi="Times New Roman" w:cs="Times New Roman"/>
          <w:b/>
          <w:color w:val="000000"/>
          <w:sz w:val="28"/>
          <w:szCs w:val="28"/>
        </w:rPr>
        <w:t xml:space="preserve">по продаже </w:t>
      </w:r>
      <w:r>
        <w:rPr>
          <w:rFonts w:ascii="Times New Roman" w:hAnsi="Times New Roman" w:cs="Times New Roman"/>
          <w:b/>
          <w:color w:val="000000"/>
          <w:sz w:val="28"/>
          <w:szCs w:val="28"/>
        </w:rPr>
        <w:t xml:space="preserve">права </w:t>
      </w:r>
      <w:r>
        <w:rPr>
          <w:rFonts w:ascii="Times New Roman" w:hAnsi="Times New Roman" w:cs="Times New Roman"/>
          <w:b/>
          <w:color w:val="000000"/>
          <w:sz w:val="28"/>
          <w:szCs w:val="28"/>
        </w:rPr>
        <w:t xml:space="preserve">на заключение договора </w:t>
      </w:r>
      <w:r>
        <w:rPr>
          <w:rFonts w:ascii="Times New Roman" w:hAnsi="Times New Roman" w:cs="Times New Roman"/>
          <w:b/>
          <w:color w:val="000000"/>
          <w:sz w:val="28"/>
          <w:szCs w:val="28"/>
        </w:rPr>
        <w:t xml:space="preserve">о закреплении доли квоты добычи (вылова) водных биологических ресурсов во внутренних морских водах Российской Федерации, </w:t>
      </w:r>
      <w:r>
        <w:rPr>
          <w:rFonts w:ascii="Times New Roman" w:hAnsi="Times New Roman" w:cs="Times New Roman"/>
          <w:b/>
          <w:color w:val="000000"/>
          <w:sz w:val="28"/>
          <w:szCs w:val="28"/>
        </w:rPr>
        <w:t xml:space="preserve">в территориальном море Российской Федерации, на континентальном шельфе Российской Федерации, в исключительной экономической зоне Росси</w:t>
      </w:r>
      <w:r>
        <w:rPr>
          <w:rFonts w:ascii="Times New Roman" w:hAnsi="Times New Roman" w:cs="Times New Roman"/>
          <w:b/>
          <w:color w:val="000000"/>
          <w:sz w:val="28"/>
          <w:szCs w:val="28"/>
        </w:rPr>
        <w:t xml:space="preserve">йской Федерации, Каспийском море для осуществления промышленного рыболовства и (или) прибрежного рыболовства водных биологических ресурсов в Дальневосточном рыбохозяйственном бассейне </w:t>
      </w:r>
      <w:r>
        <w:rPr>
          <w:rFonts w:ascii="Times New Roman" w:hAnsi="Times New Roman" w:cs="Times New Roman"/>
          <w:b/>
          <w:color w:val="000000"/>
          <w:sz w:val="28"/>
          <w:szCs w:val="28"/>
        </w:rPr>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b/>
          <w:bCs/>
          <w:sz w:val="28"/>
          <w:szCs w:val="28"/>
        </w:rPr>
      </w:pPr>
      <w:r>
        <w:rPr>
          <w:rFonts w:ascii="Times New Roman" w:hAnsi="Times New Roman" w:cs="Times New Roman"/>
          <w:b/>
          <w:color w:val="000000"/>
          <w:sz w:val="28"/>
          <w:szCs w:val="28"/>
        </w:rPr>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t xml:space="preserve">1</w:t>
      </w:r>
      <w:r>
        <w:rPr>
          <w:rFonts w:ascii="Times New Roman" w:hAnsi="Times New Roman" w:eastAsia="Times New Roman" w:cs="Times New Roman"/>
          <w:b/>
          <w:color w:val="000000"/>
          <w:sz w:val="28"/>
          <w:szCs w:val="28"/>
        </w:rPr>
        <w:t xml:space="preserve">. Общие положения.</w:t>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pStyle w:val="981"/>
        <w:ind w:left="0" w:firstLine="709"/>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rPr>
      </w:pPr>
      <w:r>
        <w:rPr>
          <w:rFonts w:ascii="Times New Roman" w:hAnsi="Times New Roman" w:cs="Times New Roman"/>
          <w:color w:val="000000"/>
          <w:sz w:val="28"/>
          <w:szCs w:val="28"/>
        </w:rPr>
        <w:t xml:space="preserve">1.</w:t>
      </w:r>
      <w:r>
        <w:rPr>
          <w:rFonts w:ascii="Times New Roman" w:hAnsi="Times New Roman" w:cs="Times New Roman"/>
          <w:color w:val="000000"/>
          <w:sz w:val="28"/>
          <w:szCs w:val="28"/>
        </w:rPr>
        <w:t xml:space="preserve">1.</w:t>
      </w:r>
      <w:r>
        <w:rPr>
          <w:rFonts w:ascii="Times New Roman" w:hAnsi="Times New Roman" w:cs="Times New Roman"/>
          <w:color w:val="000000"/>
          <w:sz w:val="28"/>
          <w:szCs w:val="28"/>
        </w:rPr>
        <w:t xml:space="preserve"> Настоящая документация об </w:t>
      </w:r>
      <w:r>
        <w:rPr>
          <w:rFonts w:ascii="Times New Roman" w:hAnsi="Times New Roman" w:cs="Times New Roman"/>
          <w:color w:val="000000"/>
          <w:sz w:val="28"/>
          <w:szCs w:val="28"/>
        </w:rPr>
        <w:t xml:space="preserve">аукционе</w:t>
      </w:r>
      <w:r>
        <w:rPr>
          <w:rFonts w:ascii="Times New Roman" w:hAnsi="Times New Roman" w:cs="Times New Roman"/>
          <w:sz w:val="28"/>
          <w:szCs w:val="28"/>
        </w:rPr>
        <w:t xml:space="preserve"> в электронной форме</w:t>
      </w:r>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br/>
      </w:r>
      <w:r>
        <w:rPr>
          <w:rFonts w:ascii="Times New Roman" w:hAnsi="Times New Roman" w:cs="Times New Roman"/>
          <w:b w:val="0"/>
          <w:bCs w:val="0"/>
          <w:color w:val="000000"/>
          <w:sz w:val="28"/>
          <w:szCs w:val="28"/>
        </w:rPr>
        <w:t xml:space="preserve">по продаже </w:t>
      </w:r>
      <w:r>
        <w:rPr>
          <w:rFonts w:ascii="Times New Roman" w:hAnsi="Times New Roman" w:cs="Times New Roman"/>
          <w:b w:val="0"/>
          <w:bCs w:val="0"/>
          <w:color w:val="000000"/>
          <w:sz w:val="28"/>
          <w:szCs w:val="28"/>
        </w:rPr>
        <w:t xml:space="preserve">права </w:t>
      </w:r>
      <w:r>
        <w:rPr>
          <w:rFonts w:ascii="Times New Roman" w:hAnsi="Times New Roman" w:cs="Times New Roman"/>
          <w:b w:val="0"/>
          <w:bCs w:val="0"/>
          <w:color w:val="000000"/>
          <w:sz w:val="28"/>
          <w:szCs w:val="28"/>
        </w:rPr>
        <w:t xml:space="preserve">на заключение договора </w:t>
      </w:r>
      <w:r>
        <w:rPr>
          <w:rFonts w:ascii="Times New Roman" w:hAnsi="Times New Roman" w:cs="Times New Roman"/>
          <w:b w:val="0"/>
          <w:bCs w:val="0"/>
          <w:color w:val="000000"/>
          <w:sz w:val="28"/>
          <w:szCs w:val="28"/>
        </w:rPr>
        <w:t xml:space="preserve">о закреплении доли квоты добычи (вылова) водных биологических ресурсов во внутренних морских водах Российской Федерации, </w:t>
      </w:r>
      <w:r>
        <w:rPr>
          <w:rFonts w:ascii="Times New Roman" w:hAnsi="Times New Roman" w:cs="Times New Roman"/>
          <w:b w:val="0"/>
          <w:bCs w:val="0"/>
          <w:color w:val="000000"/>
          <w:sz w:val="28"/>
          <w:szCs w:val="28"/>
        </w:rPr>
        <w:t xml:space="preserve">в территориальном море Российской Федерации, на континентальном шельфе Российской Федерации, в исключительной экономической зоне Росси</w:t>
      </w:r>
      <w:r>
        <w:rPr>
          <w:rFonts w:ascii="Times New Roman" w:hAnsi="Times New Roman" w:cs="Times New Roman"/>
          <w:b w:val="0"/>
          <w:bCs w:val="0"/>
          <w:color w:val="000000"/>
          <w:sz w:val="28"/>
          <w:szCs w:val="28"/>
        </w:rPr>
        <w:t xml:space="preserve">йской Федерации, Каспийском море для осуществления промышленного рыболовства и (или) прибрежного рыболовства водных биологических ресурсов в Дальневосточном рыбохозяйственном бассейне </w:t>
      </w:r>
      <w:r>
        <w:rPr>
          <w:rFonts w:ascii="Times New Roman" w:hAnsi="Times New Roman" w:cs="Times New Roman"/>
          <w:color w:val="000000"/>
          <w:sz w:val="28"/>
          <w:szCs w:val="28"/>
        </w:rPr>
        <w:t xml:space="preserve"> (далее </w:t>
      </w:r>
      <w:r>
        <w:rPr>
          <w:rFonts w:ascii="Times New Roman" w:hAnsi="Times New Roman" w:cs="Times New Roman"/>
          <w:color w:val="000000"/>
          <w:sz w:val="28"/>
          <w:szCs w:val="28"/>
        </w:rPr>
        <w:t xml:space="preserve">–</w:t>
      </w:r>
      <w:r>
        <w:rPr>
          <w:rFonts w:ascii="Times New Roman" w:hAnsi="Times New Roman" w:cs="Times New Roman"/>
          <w:color w:val="000000"/>
          <w:sz w:val="28"/>
          <w:szCs w:val="28"/>
        </w:rPr>
        <w:t xml:space="preserve"> документация об аукцио</w:t>
      </w:r>
      <w:r>
        <w:rPr>
          <w:rFonts w:ascii="Times New Roman" w:hAnsi="Times New Roman" w:cs="Times New Roman"/>
          <w:color w:val="000000"/>
          <w:sz w:val="28"/>
          <w:szCs w:val="28"/>
        </w:rPr>
        <w:t xml:space="preserve">не)</w:t>
      </w:r>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разработана Федеральным агентством по рыболовству в соответствии с Гражданским кодексом Российской Федерации, Федеральным законом</w:t>
      </w:r>
      <w:r>
        <w:rPr>
          <w:rFonts w:ascii="Times New Roman" w:hAnsi="Times New Roman" w:cs="Times New Roman"/>
          <w:color w:val="000000"/>
          <w:sz w:val="28"/>
          <w:szCs w:val="28"/>
        </w:rPr>
        <w:t xml:space="preserve"> </w:t>
      </w:r>
      <w:hyperlink r:id="rId13" w:tooltip="javascript:viewd(2764,41);" w:history="1">
        <w:r>
          <w:rPr>
            <w:rFonts w:ascii="Times New Roman" w:hAnsi="Times New Roman" w:cs="Times New Roman"/>
            <w:sz w:val="28"/>
            <w:szCs w:val="28"/>
          </w:rPr>
          <w:t xml:space="preserve">от 20 декабря 2004</w:t>
        </w:r>
        <w:r>
          <w:rPr>
            <w:rFonts w:ascii="Times New Roman" w:hAnsi="Times New Roman" w:cs="Times New Roman"/>
            <w:sz w:val="28"/>
            <w:szCs w:val="28"/>
          </w:rPr>
          <w:t xml:space="preserve"> </w:t>
        </w:r>
        <w:r>
          <w:rPr>
            <w:rFonts w:ascii="Times New Roman" w:hAnsi="Times New Roman" w:cs="Times New Roman"/>
            <w:sz w:val="28"/>
            <w:szCs w:val="28"/>
          </w:rPr>
          <w:t xml:space="preserve">г. </w:t>
        </w:r>
        <w:r>
          <w:rPr>
            <w:rFonts w:ascii="Times New Roman" w:hAnsi="Times New Roman" w:cs="Times New Roman"/>
            <w:sz w:val="28"/>
            <w:szCs w:val="28"/>
          </w:rPr>
          <w:t xml:space="preserve">№</w:t>
        </w:r>
        <w:r>
          <w:rPr>
            <w:rFonts w:ascii="Times New Roman" w:hAnsi="Times New Roman" w:cs="Times New Roman"/>
            <w:sz w:val="28"/>
            <w:szCs w:val="28"/>
          </w:rPr>
          <w:t xml:space="preserve"> 166-ФЗ</w:t>
        </w:r>
      </w:hyperlink>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w:t>
      </w:r>
      <w:r>
        <w:rPr>
          <w:rFonts w:ascii="Times New Roman" w:hAnsi="Times New Roman" w:cs="Times New Roman"/>
          <w:color w:val="000000"/>
          <w:sz w:val="28"/>
          <w:szCs w:val="28"/>
        </w:rPr>
        <w:t xml:space="preserve">О рыболовстве</w:t>
      </w:r>
      <w:r>
        <w:rPr>
          <w:rFonts w:ascii="Times New Roman" w:hAnsi="Times New Roman" w:cs="Times New Roman"/>
          <w:color w:val="000000"/>
          <w:sz w:val="28"/>
          <w:szCs w:val="28"/>
        </w:rPr>
        <w:t xml:space="preserve"> и сохранении водных биологических ресурсов</w:t>
      </w:r>
      <w:r>
        <w:rPr>
          <w:rFonts w:ascii="Times New Roman" w:hAnsi="Times New Roman" w:cs="Times New Roman"/>
          <w:color w:val="000000"/>
          <w:sz w:val="28"/>
          <w:szCs w:val="28"/>
        </w:rPr>
        <w:t xml:space="preserve">»</w:t>
      </w:r>
      <w:r>
        <w:rPr>
          <w:rFonts w:ascii="Times New Roman" w:hAnsi="Times New Roman" w:cs="Times New Roman"/>
          <w:color w:val="000000"/>
          <w:sz w:val="28"/>
          <w:szCs w:val="28"/>
        </w:rPr>
        <w:t xml:space="preserve"> (далее – Закон о рыболовстве)</w:t>
      </w:r>
      <w:r>
        <w:rPr>
          <w:rFonts w:ascii="Times New Roman" w:hAnsi="Times New Roman" w:cs="Times New Roman"/>
          <w:color w:val="000000"/>
          <w:sz w:val="28"/>
          <w:szCs w:val="28"/>
        </w:rPr>
        <w:t xml:space="preserve">, Федеральным</w:t>
      </w:r>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законом</w:t>
      </w:r>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от 26 июля 2006 г.</w:t>
      </w:r>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w:t>
      </w:r>
      <w:r>
        <w:rPr>
          <w:rFonts w:ascii="Times New Roman" w:hAnsi="Times New Roman" w:cs="Times New Roman"/>
          <w:color w:val="000000"/>
          <w:sz w:val="28"/>
          <w:szCs w:val="28"/>
        </w:rPr>
        <w:t xml:space="preserve"> 135-ФЗ </w:t>
      </w:r>
      <w:r>
        <w:rPr>
          <w:rFonts w:ascii="Times New Roman" w:hAnsi="Times New Roman" w:cs="Times New Roman"/>
          <w:color w:val="000000"/>
          <w:sz w:val="28"/>
          <w:szCs w:val="28"/>
        </w:rPr>
        <w:t xml:space="preserve">«</w:t>
      </w:r>
      <w:r>
        <w:rPr>
          <w:rFonts w:ascii="Times New Roman" w:hAnsi="Times New Roman" w:cs="Times New Roman"/>
          <w:color w:val="000000"/>
          <w:sz w:val="28"/>
          <w:szCs w:val="28"/>
        </w:rPr>
        <w:t xml:space="preserve">О защите конкуренции</w:t>
      </w:r>
      <w:r>
        <w:rPr>
          <w:rFonts w:ascii="Times New Roman" w:hAnsi="Times New Roman" w:cs="Times New Roman"/>
          <w:color w:val="000000"/>
          <w:sz w:val="28"/>
          <w:szCs w:val="28"/>
        </w:rPr>
        <w:t xml:space="preserve">»</w:t>
      </w:r>
      <w:r>
        <w:rPr>
          <w:rFonts w:ascii="Times New Roman" w:hAnsi="Times New Roman" w:cs="Times New Roman"/>
          <w:color w:val="000000"/>
          <w:sz w:val="28"/>
          <w:szCs w:val="28"/>
        </w:rPr>
        <w:t xml:space="preserve">,</w:t>
      </w:r>
      <w:r>
        <w:rPr>
          <w:rFonts w:ascii="Times New Roman" w:hAnsi="Times New Roman" w:cs="Times New Roman"/>
          <w:color w:val="000000"/>
          <w:sz w:val="28"/>
          <w:szCs w:val="28"/>
        </w:rPr>
        <w:t xml:space="preserve"> </w:t>
      </w:r>
      <w:r>
        <w:rPr>
          <w:rFonts w:ascii="Times New Roman" w:hAnsi="Times New Roman" w:cs="Times New Roman"/>
          <w:sz w:val="28"/>
          <w:szCs w:val="28"/>
        </w:rPr>
        <w:t xml:space="preserve">Федеральным законом</w:t>
      </w:r>
      <w:r>
        <w:rPr>
          <w:rFonts w:ascii="Times New Roman" w:hAnsi="Times New Roman" w:cs="Times New Roman"/>
          <w:sz w:val="28"/>
          <w:szCs w:val="28"/>
        </w:rPr>
        <w:t xml:space="preserve"> </w:t>
      </w:r>
      <w:r>
        <w:rPr>
          <w:rFonts w:ascii="Times New Roman" w:hAnsi="Times New Roman" w:cs="Times New Roman"/>
          <w:sz w:val="28"/>
          <w:szCs w:val="28"/>
        </w:rPr>
        <w:t xml:space="preserve">от 29 апреля 2008 г. № 57-ФЗ</w:t>
      </w:r>
      <w:r>
        <w:rPr>
          <w:rFonts w:ascii="Times New Roman" w:hAnsi="Times New Roman" w:cs="Times New Roman"/>
          <w:sz w:val="28"/>
          <w:szCs w:val="28"/>
        </w:rPr>
        <w:t xml:space="preserve"> </w:t>
      </w:r>
      <w:r>
        <w:rPr>
          <w:rFonts w:ascii="Times New Roman" w:hAnsi="Times New Roman" w:cs="Times New Roman"/>
          <w:sz w:val="28"/>
          <w:szCs w:val="28"/>
        </w:rPr>
        <w:t xml:space="preserve">«О порядке осуществления иностранных инвестиций в хозяйственные общества, имеющие стратегическое значение для обеспечения обороны страны и безопасности государства»</w:t>
      </w:r>
      <w:r>
        <w:rPr>
          <w:rStyle w:val="988"/>
          <w:rFonts w:ascii="Times New Roman" w:hAnsi="Times New Roman" w:cs="Times New Roman"/>
          <w:sz w:val="28"/>
          <w:szCs w:val="28"/>
        </w:rPr>
        <w:footnoteReference w:id="2"/>
      </w:r>
      <w:r>
        <w:rPr>
          <w:rFonts w:ascii="Times New Roman" w:hAnsi="Times New Roman" w:cs="Times New Roman"/>
          <w:sz w:val="28"/>
          <w:szCs w:val="28"/>
        </w:rPr>
        <w:t xml:space="preserve">, </w:t>
      </w:r>
      <w:r>
        <w:rPr>
          <w:rFonts w:ascii="Times New Roman" w:hAnsi="Times New Roman" w:cs="Times New Roman"/>
          <w:color w:val="000000"/>
          <w:sz w:val="28"/>
          <w:szCs w:val="28"/>
        </w:rPr>
        <w:t xml:space="preserve">Положением о Федера</w:t>
      </w:r>
      <w:r>
        <w:rPr>
          <w:rFonts w:ascii="Times New Roman" w:hAnsi="Times New Roman" w:cs="Times New Roman"/>
          <w:color w:val="000000"/>
          <w:sz w:val="28"/>
          <w:szCs w:val="28"/>
        </w:rPr>
        <w:t xml:space="preserve">льном агентстве по рыболовству, утвержденным</w:t>
      </w:r>
      <w:r>
        <w:rPr>
          <w:rFonts w:ascii="Times New Roman" w:hAnsi="Times New Roman" w:cs="Times New Roman"/>
          <w:color w:val="000000"/>
          <w:sz w:val="28"/>
          <w:szCs w:val="28"/>
        </w:rPr>
        <w:t xml:space="preserve"> постановлением </w:t>
      </w:r>
      <w:r>
        <w:rPr>
          <w:rFonts w:ascii="Times New Roman" w:hAnsi="Times New Roman" w:cs="Times New Roman"/>
          <w:color w:val="000000"/>
          <w:sz w:val="28"/>
          <w:szCs w:val="28"/>
        </w:rPr>
        <w:t xml:space="preserve">Правительства Российской</w:t>
      </w:r>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Федерации</w:t>
      </w:r>
      <w:r>
        <w:rPr>
          <w:rFonts w:ascii="Times New Roman" w:hAnsi="Times New Roman" w:cs="Times New Roman"/>
          <w:color w:val="000000"/>
          <w:sz w:val="28"/>
          <w:szCs w:val="28"/>
        </w:rPr>
        <w:t xml:space="preserve"> </w:t>
        <w:br/>
      </w:r>
      <w:hyperlink r:id="rId14" w:tooltip="javascript:viewd(5983,53);" w:history="1">
        <w:r>
          <w:rPr>
            <w:rFonts w:ascii="Times New Roman" w:hAnsi="Times New Roman" w:cs="Times New Roman"/>
            <w:sz w:val="28"/>
            <w:szCs w:val="28"/>
          </w:rPr>
          <w:t xml:space="preserve">от</w:t>
        </w:r>
        <w:r>
          <w:rPr>
            <w:rFonts w:ascii="Times New Roman" w:hAnsi="Times New Roman" w:cs="Times New Roman"/>
            <w:sz w:val="28"/>
            <w:szCs w:val="28"/>
          </w:rPr>
          <w:t xml:space="preserve"> 11 июня</w:t>
        </w:r>
        <w:r>
          <w:rPr>
            <w:rFonts w:ascii="Times New Roman" w:hAnsi="Times New Roman" w:cs="Times New Roman"/>
            <w:sz w:val="28"/>
            <w:szCs w:val="28"/>
          </w:rPr>
          <w:t xml:space="preserve"> 2008 г.</w:t>
        </w:r>
        <w:r>
          <w:rPr>
            <w:rFonts w:ascii="Times New Roman" w:hAnsi="Times New Roman" w:cs="Times New Roman"/>
            <w:sz w:val="28"/>
            <w:szCs w:val="28"/>
          </w:rPr>
          <w:t xml:space="preserve"> </w:t>
        </w:r>
        <w:r>
          <w:rPr>
            <w:rFonts w:ascii="Times New Roman" w:hAnsi="Times New Roman" w:cs="Times New Roman"/>
            <w:sz w:val="28"/>
            <w:szCs w:val="28"/>
          </w:rPr>
          <w:t xml:space="preserve">№</w:t>
        </w:r>
        <w:r>
          <w:rPr>
            <w:rFonts w:ascii="Times New Roman" w:hAnsi="Times New Roman" w:cs="Times New Roman"/>
            <w:sz w:val="28"/>
            <w:szCs w:val="28"/>
          </w:rPr>
          <w:t xml:space="preserve"> 444</w:t>
        </w:r>
      </w:hyperlink>
      <w:r>
        <w:rPr>
          <w:rFonts w:ascii="Times New Roman" w:hAnsi="Times New Roman" w:cs="Times New Roman"/>
        </w:rPr>
        <w:t xml:space="preserve">,</w:t>
      </w:r>
      <w:r>
        <w:rPr>
          <w:rFonts w:ascii="Times New Roman" w:hAnsi="Times New Roman" w:cs="Times New Roman"/>
        </w:rPr>
        <w:t xml:space="preserve"> </w:t>
      </w:r>
      <w:r>
        <w:rPr>
          <w:rFonts w:ascii="Times New Roman" w:hAnsi="Times New Roman" w:cs="Times New Roman"/>
          <w:sz w:val="28"/>
          <w:szCs w:val="28"/>
        </w:rPr>
        <w:t xml:space="preserve">и постановлением </w:t>
      </w:r>
      <w:r>
        <w:rPr>
          <w:rFonts w:ascii="Times New Roman" w:hAnsi="Times New Roman" w:cs="Times New Roman"/>
          <w:sz w:val="28"/>
          <w:szCs w:val="28"/>
        </w:rPr>
        <w:t xml:space="preserve">Правительства </w:t>
      </w:r>
      <w:r>
        <w:rPr>
          <w:rFonts w:ascii="Times New Roman" w:hAnsi="Times New Roman" w:cs="Times New Roman"/>
          <w:sz w:val="28"/>
          <w:szCs w:val="28"/>
        </w:rPr>
        <w:t xml:space="preserve">Российской Федерации </w:t>
      </w:r>
      <w:hyperlink r:id="rId15" w:tooltip="javascript:viewd(6127,53);" w:history="1">
        <w:r>
          <w:rPr>
            <w:rFonts w:ascii="Times New Roman" w:hAnsi="Times New Roman" w:cs="Times New Roman"/>
            <w:sz w:val="28"/>
            <w:szCs w:val="28"/>
          </w:rPr>
          <w:t xml:space="preserve">от </w:t>
        </w:r>
        <w:r>
          <w:rPr>
            <w:rFonts w:ascii="Times New Roman" w:hAnsi="Times New Roman" w:cs="Times New Roman"/>
            <w:sz w:val="28"/>
            <w:szCs w:val="28"/>
          </w:rPr>
          <w:t xml:space="preserve">31 августа </w:t>
        </w:r>
        <w:r>
          <w:rPr>
            <w:rFonts w:ascii="Times New Roman" w:hAnsi="Times New Roman" w:cs="Times New Roman"/>
            <w:sz w:val="28"/>
            <w:szCs w:val="28"/>
          </w:rPr>
          <w:t xml:space="preserve">20</w:t>
        </w:r>
        <w:r>
          <w:rPr>
            <w:rFonts w:ascii="Times New Roman" w:hAnsi="Times New Roman" w:cs="Times New Roman"/>
            <w:sz w:val="28"/>
            <w:szCs w:val="28"/>
          </w:rPr>
          <w:t xml:space="preserve">24 г. </w:t>
        </w:r>
        <w:r>
          <w:rPr>
            <w:rFonts w:ascii="Times New Roman" w:hAnsi="Times New Roman" w:cs="Times New Roman"/>
            <w:sz w:val="28"/>
            <w:szCs w:val="28"/>
          </w:rPr>
          <w:t xml:space="preserve">№</w:t>
        </w:r>
        <w:r>
          <w:rPr>
            <w:rFonts w:ascii="Times New Roman" w:hAnsi="Times New Roman" w:cs="Times New Roman"/>
            <w:sz w:val="28"/>
            <w:szCs w:val="28"/>
          </w:rPr>
          <w:t xml:space="preserve"> </w:t>
        </w:r>
      </w:hyperlink>
      <w:r>
        <w:rPr>
          <w:rFonts w:ascii="Times New Roman" w:hAnsi="Times New Roman" w:cs="Times New Roman"/>
          <w:sz w:val="28"/>
          <w:szCs w:val="28"/>
        </w:rPr>
        <w:t xml:space="preserve">1206 </w:t>
      </w:r>
      <w:r>
        <w:rPr>
          <w:rFonts w:ascii="Times New Roman" w:hAnsi="Times New Roman" w:cs="Times New Roman"/>
          <w:sz w:val="28"/>
          <w:szCs w:val="28"/>
        </w:rPr>
        <w:t xml:space="preserve">«Об утверждении Правил организации и проведения </w:t>
      </w:r>
      <w:r>
        <w:rPr>
          <w:rFonts w:ascii="Times New Roman" w:hAnsi="Times New Roman" w:cs="Times New Roman"/>
          <w:sz w:val="28"/>
          <w:szCs w:val="28"/>
        </w:rPr>
        <w:t xml:space="preserve">аукционов в электронной форме</w:t>
      </w:r>
      <w:r>
        <w:rPr>
          <w:rFonts w:ascii="Times New Roman" w:hAnsi="Times New Roman" w:cs="Times New Roman"/>
          <w:color w:val="000000"/>
          <w:sz w:val="28"/>
          <w:szCs w:val="28"/>
        </w:rPr>
        <w:t xml:space="preserve"> по продаже права на заключение договора</w:t>
      </w:r>
      <w:r>
        <w:rPr>
          <w:rFonts w:ascii="Times New Roman" w:hAnsi="Times New Roman" w:cs="Times New Roman"/>
          <w:sz w:val="28"/>
          <w:szCs w:val="28"/>
        </w:rPr>
        <w:t xml:space="preserve"> о закреплении</w:t>
      </w:r>
      <w:r>
        <w:rPr>
          <w:rFonts w:ascii="Times New Roman" w:hAnsi="Times New Roman" w:cs="Times New Roman"/>
          <w:color w:val="000000"/>
          <w:sz w:val="28"/>
          <w:szCs w:val="28"/>
        </w:rPr>
        <w:t xml:space="preserve"> </w:t>
      </w:r>
      <w:r>
        <w:rPr>
          <w:rFonts w:ascii="Times New Roman" w:hAnsi="Times New Roman" w:cs="Times New Roman"/>
          <w:sz w:val="28"/>
          <w:szCs w:val="28"/>
        </w:rPr>
        <w:t xml:space="preserve">доли квоты добычи (вылова) водных биологических ресурсов, </w:t>
      </w:r>
      <w:r>
        <w:rPr>
          <w:rFonts w:ascii="Times New Roman" w:hAnsi="Times New Roman" w:cs="Times New Roman"/>
          <w:sz w:val="28"/>
          <w:szCs w:val="28"/>
        </w:rPr>
        <w:t xml:space="preserve">договора пользования водными биологическими ресурсами, </w:t>
      </w:r>
      <w:r>
        <w:rPr>
          <w:rFonts w:ascii="Times New Roman" w:hAnsi="Times New Roman" w:cs="Times New Roman"/>
          <w:sz w:val="28"/>
          <w:szCs w:val="28"/>
        </w:rPr>
        <w:t xml:space="preserve">договора пользования рыболовным участком».</w:t>
      </w:r>
      <w:r/>
    </w:p>
    <w:p>
      <w:pPr>
        <w:ind w:firstLine="709"/>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highlight w:val="none"/>
        </w:rPr>
      </w:pPr>
      <w:r>
        <w:rPr>
          <w:rFonts w:ascii="Times New Roman" w:hAnsi="Times New Roman" w:cs="Times New Roman"/>
          <w:color w:val="000000"/>
          <w:sz w:val="28"/>
        </w:rPr>
        <w:t xml:space="preserve">1</w:t>
      </w:r>
      <w:r>
        <w:rPr>
          <w:rFonts w:ascii="Times New Roman" w:hAnsi="Times New Roman" w:cs="Times New Roman"/>
          <w:color w:val="000000"/>
          <w:sz w:val="28"/>
        </w:rPr>
        <w:t xml:space="preserve">.2</w:t>
      </w:r>
      <w:r>
        <w:rPr>
          <w:rFonts w:ascii="Times New Roman" w:hAnsi="Times New Roman" w:cs="Times New Roman"/>
          <w:color w:val="000000"/>
          <w:sz w:val="28"/>
        </w:rPr>
        <w:t xml:space="preserve">.</w:t>
      </w:r>
      <w:r>
        <w:rPr>
          <w:rFonts w:ascii="Times New Roman" w:hAnsi="Times New Roman" w:cs="Times New Roman"/>
          <w:color w:val="000000"/>
          <w:sz w:val="28"/>
        </w:rPr>
        <w:t xml:space="preserve"> </w:t>
      </w:r>
      <w:r>
        <w:rPr>
          <w:rFonts w:ascii="Times New Roman" w:hAnsi="Times New Roman" w:cs="Times New Roman"/>
          <w:color w:val="000000"/>
          <w:sz w:val="28"/>
        </w:rPr>
        <w:t xml:space="preserve">А</w:t>
      </w:r>
      <w:r>
        <w:rPr>
          <w:rFonts w:ascii="Times New Roman" w:hAnsi="Times New Roman" w:cs="Times New Roman"/>
          <w:color w:val="000000"/>
          <w:sz w:val="28"/>
        </w:rPr>
        <w:t xml:space="preserve">укцион в электронной форме по продаже права на заключение договора о закреплении доли квоты добычи (вылова) водных биологических ресурсов </w:t>
      </w:r>
      <w:r>
        <w:rPr>
          <w:rFonts w:ascii="Times New Roman" w:hAnsi="Times New Roman" w:cs="Times New Roman"/>
          <w:b w:val="0"/>
          <w:bCs w:val="0"/>
          <w:sz w:val="28"/>
          <w:szCs w:val="28"/>
        </w:rPr>
        <w:t xml:space="preserve">предоставленной Российской Федерации</w:t>
      </w:r>
      <w:r>
        <w:rPr>
          <w:rFonts w:ascii="Times New Roman" w:hAnsi="Times New Roman" w:cs="Times New Roman"/>
          <w:b w:val="0"/>
          <w:bCs w:val="0"/>
          <w:sz w:val="28"/>
          <w:szCs w:val="28"/>
        </w:rPr>
        <w:t xml:space="preserve"> в районах действия международных договоров Российской Федерации</w:t>
      </w:r>
      <w:r>
        <w:rPr>
          <w:rFonts w:ascii="Times New Roman" w:hAnsi="Times New Roman" w:cs="Times New Roman"/>
          <w:b w:val="0"/>
          <w:bCs w:val="0"/>
          <w:sz w:val="28"/>
          <w:szCs w:val="28"/>
        </w:rPr>
        <w:t xml:space="preserve"> в области рыболовства и сохранения водных биологических ресурсов для осуществления промышленного рыболовства и (или) прибрежного рыболовства</w:t>
      </w:r>
      <w:r>
        <w:rPr>
          <w:rFonts w:ascii="Times New Roman" w:hAnsi="Times New Roman" w:cs="Times New Roman"/>
          <w:sz w:val="28"/>
          <w:szCs w:val="28"/>
        </w:rPr>
        <w:t xml:space="preserve"> (далее – аукцион) проводится в отношении следующего лота:</w:t>
      </w:r>
      <w:r>
        <w:rPr>
          <w:rFonts w:ascii="Times New Roman" w:hAnsi="Times New Roman" w:cs="Times New Roman"/>
          <w:sz w:val="28"/>
          <w:szCs w:val="28"/>
        </w:rPr>
      </w:r>
      <w:r/>
    </w:p>
    <w:p>
      <w:pPr>
        <w:ind w:firstLine="709"/>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highlight w:val="none"/>
        </w:rPr>
      </w:pPr>
      <w:r>
        <w:rPr>
          <w:rFonts w:ascii="Times New Roman" w:hAnsi="Times New Roman" w:cs="Times New Roman"/>
          <w:sz w:val="28"/>
          <w:szCs w:val="28"/>
          <w:highlight w:val="none"/>
        </w:rPr>
      </w:r>
      <w:r>
        <w:rPr>
          <w:rFonts w:ascii="Times New Roman" w:hAnsi="Times New Roman" w:cs="Times New Roman"/>
          <w:sz w:val="28"/>
          <w:szCs w:val="28"/>
          <w:highlight w:val="none"/>
        </w:rPr>
      </w:r>
      <w:r/>
    </w:p>
    <w:tbl>
      <w:tblPr>
        <w:tblW w:w="10347" w:type="dxa"/>
        <w:tblInd w:w="-459"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Look w:val="0000" w:firstRow="0" w:lastRow="0" w:firstColumn="0" w:lastColumn="0" w:noHBand="0" w:noVBand="0"/>
      </w:tblPr>
      <w:tblGrid>
        <w:gridCol w:w="709"/>
        <w:gridCol w:w="1558"/>
        <w:gridCol w:w="1559"/>
        <w:gridCol w:w="1276"/>
        <w:gridCol w:w="1984"/>
        <w:gridCol w:w="1843"/>
        <w:gridCol w:w="1418"/>
      </w:tblGrid>
      <w:tr>
        <w:trPr>
          <w:trHeight w:val="1104"/>
          <w:tblHeader/>
        </w:trPr>
        <w:tc>
          <w:tcPr>
            <w:tcW w:w="709" w:type="dxa"/>
            <w:vAlign w:val="center"/>
            <w:textDirection w:val="lrTb"/>
            <w:noWrap w:val="false"/>
          </w:tcPr>
          <w:p>
            <w:pPr>
              <w:jc w:val="center"/>
              <w:spacing w:after="0" w:line="240" w:lineRule="auto"/>
            </w:pPr>
            <w:r>
              <w:rPr>
                <w:rFonts w:ascii="Times New Roman" w:hAnsi="Times New Roman" w:eastAsia="Times New Roman" w:cs="Times New Roman"/>
                <w:b/>
                <w:sz w:val="24"/>
                <w:szCs w:val="24"/>
              </w:rPr>
              <w:t xml:space="preserve">№</w:t>
            </w:r>
            <w:r>
              <w:rPr>
                <w:rFonts w:ascii="Times New Roman" w:hAnsi="Times New Roman" w:eastAsia="Times New Roman" w:cs="Times New Roman"/>
                <w:b/>
                <w:sz w:val="24"/>
                <w:szCs w:val="24"/>
              </w:rPr>
            </w:r>
            <w:r/>
          </w:p>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лота</w:t>
            </w:r>
            <w:r>
              <w:rPr>
                <w:rFonts w:ascii="Times New Roman" w:hAnsi="Times New Roman" w:eastAsia="Times New Roman" w:cs="Times New Roman"/>
                <w:b/>
                <w:sz w:val="24"/>
                <w:szCs w:val="24"/>
              </w:rPr>
            </w:r>
            <w:r/>
          </w:p>
        </w:tc>
        <w:tc>
          <w:tcPr>
            <w:tcW w:w="1558" w:type="dxa"/>
            <w:vAlign w:val="center"/>
            <w:textDirection w:val="lrTb"/>
            <w:noWrap w:val="false"/>
          </w:tcPr>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Водный </w:t>
            </w:r>
            <w:r>
              <w:rPr>
                <w:rFonts w:ascii="Times New Roman" w:hAnsi="Times New Roman" w:eastAsia="Times New Roman" w:cs="Times New Roman"/>
                <w:b/>
                <w:sz w:val="24"/>
                <w:szCs w:val="24"/>
              </w:rPr>
              <w:t xml:space="preserve">биоло-гический</w:t>
            </w:r>
            <w:r>
              <w:rPr>
                <w:rFonts w:ascii="Times New Roman" w:hAnsi="Times New Roman" w:eastAsia="Times New Roman" w:cs="Times New Roman"/>
                <w:b/>
                <w:sz w:val="24"/>
                <w:szCs w:val="24"/>
              </w:rPr>
              <w:t xml:space="preserve"> ресурс</w:t>
            </w:r>
            <w:r>
              <w:rPr>
                <w:rFonts w:ascii="Times New Roman" w:hAnsi="Times New Roman" w:eastAsia="Times New Roman" w:cs="Times New Roman"/>
                <w:b/>
                <w:sz w:val="24"/>
                <w:szCs w:val="24"/>
              </w:rPr>
            </w:r>
            <w:r/>
          </w:p>
        </w:tc>
        <w:tc>
          <w:tcPr>
            <w:tcW w:w="1559" w:type="dxa"/>
            <w:vAlign w:val="center"/>
            <w:textDirection w:val="lrTb"/>
            <w:noWrap w:val="false"/>
          </w:tcPr>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Район промысла</w:t>
            </w:r>
            <w:r>
              <w:rPr>
                <w:rFonts w:ascii="Times New Roman" w:hAnsi="Times New Roman" w:eastAsia="Times New Roman" w:cs="Times New Roman"/>
                <w:b/>
                <w:sz w:val="24"/>
                <w:szCs w:val="24"/>
              </w:rPr>
            </w:r>
            <w:r/>
          </w:p>
        </w:tc>
        <w:tc>
          <w:tcPr>
            <w:tcW w:w="1276" w:type="dxa"/>
            <w:vAlign w:val="center"/>
            <w:textDirection w:val="lrTb"/>
            <w:noWrap w:val="false"/>
          </w:tcPr>
          <w:p>
            <w:pPr>
              <w:jc w:val="center"/>
              <w:spacing w:after="0" w:line="240" w:lineRule="auto"/>
            </w:pPr>
            <w:r>
              <w:rPr>
                <w:rFonts w:ascii="Times New Roman" w:hAnsi="Times New Roman" w:eastAsia="Times New Roman" w:cs="Times New Roman"/>
                <w:b/>
                <w:sz w:val="24"/>
                <w:szCs w:val="24"/>
              </w:rPr>
              <w:t xml:space="preserve">Доля квоты,</w:t>
            </w:r>
            <w:r>
              <w:rPr>
                <w:rFonts w:ascii="Times New Roman" w:hAnsi="Times New Roman" w:eastAsia="Times New Roman" w:cs="Times New Roman"/>
                <w:b/>
                <w:sz w:val="24"/>
                <w:szCs w:val="24"/>
              </w:rPr>
            </w:r>
            <w:r/>
          </w:p>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w:t>
            </w:r>
            <w:r>
              <w:rPr>
                <w:rFonts w:ascii="Times New Roman" w:hAnsi="Times New Roman" w:eastAsia="Times New Roman" w:cs="Times New Roman"/>
                <w:b/>
                <w:sz w:val="24"/>
                <w:szCs w:val="24"/>
              </w:rPr>
            </w:r>
            <w:r/>
          </w:p>
        </w:tc>
        <w:tc>
          <w:tcPr>
            <w:shd w:val="clear" w:color="ffffff" w:fill="ffffff"/>
            <w:tcW w:w="1984" w:type="dxa"/>
            <w:vAlign w:val="center"/>
            <w:textDirection w:val="lrTb"/>
            <w:noWrap w:val="false"/>
          </w:tcPr>
          <w:p>
            <w:pPr>
              <w:jc w:val="center"/>
              <w:spacing w:after="0" w:line="240" w:lineRule="auto"/>
            </w:pPr>
            <w:r>
              <w:rPr>
                <w:rFonts w:ascii="Times New Roman" w:hAnsi="Times New Roman" w:eastAsia="Times New Roman" w:cs="Times New Roman"/>
                <w:b/>
                <w:sz w:val="24"/>
                <w:szCs w:val="24"/>
              </w:rPr>
              <w:t xml:space="preserve">Начальная цена лота,</w:t>
            </w:r>
            <w:r>
              <w:rPr>
                <w:rFonts w:ascii="Times New Roman" w:hAnsi="Times New Roman" w:eastAsia="Times New Roman" w:cs="Times New Roman"/>
                <w:b/>
                <w:sz w:val="24"/>
                <w:szCs w:val="24"/>
              </w:rPr>
            </w:r>
            <w:r/>
          </w:p>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руб.</w:t>
            </w:r>
            <w:r>
              <w:rPr>
                <w:rFonts w:ascii="Times New Roman" w:hAnsi="Times New Roman" w:eastAsia="Times New Roman" w:cs="Times New Roman"/>
                <w:b/>
                <w:sz w:val="24"/>
                <w:szCs w:val="24"/>
              </w:rPr>
            </w:r>
            <w:r/>
          </w:p>
        </w:tc>
        <w:tc>
          <w:tcPr>
            <w:shd w:val="clear" w:color="ffffff" w:fill="ffffff"/>
            <w:tcW w:w="1843" w:type="dxa"/>
            <w:vAlign w:val="center"/>
            <w:textDirection w:val="lrTb"/>
            <w:noWrap w:val="false"/>
          </w:tcPr>
          <w:p>
            <w:pPr>
              <w:jc w:val="center"/>
              <w:spacing w:after="0" w:line="240" w:lineRule="auto"/>
            </w:pPr>
            <w:r>
              <w:rPr>
                <w:rFonts w:ascii="Times New Roman" w:hAnsi="Times New Roman" w:eastAsia="Times New Roman" w:cs="Times New Roman"/>
                <w:b/>
                <w:sz w:val="24"/>
                <w:szCs w:val="24"/>
              </w:rPr>
              <w:t xml:space="preserve">Шаг аукциона,</w:t>
            </w:r>
            <w:r>
              <w:rPr>
                <w:rFonts w:ascii="Times New Roman" w:hAnsi="Times New Roman" w:eastAsia="Times New Roman" w:cs="Times New Roman"/>
                <w:b/>
                <w:sz w:val="24"/>
                <w:szCs w:val="24"/>
              </w:rPr>
            </w:r>
            <w:r/>
          </w:p>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руб.</w:t>
            </w:r>
            <w:r>
              <w:rPr>
                <w:rFonts w:ascii="Times New Roman" w:hAnsi="Times New Roman" w:eastAsia="Times New Roman" w:cs="Times New Roman"/>
                <w:b/>
                <w:sz w:val="24"/>
                <w:szCs w:val="24"/>
              </w:rPr>
            </w:r>
            <w:r/>
          </w:p>
        </w:tc>
        <w:tc>
          <w:tcPr>
            <w:shd w:val="clear" w:color="ffffff" w:fill="ffffff"/>
            <w:tcW w:w="1418" w:type="dxa"/>
            <w:vAlign w:val="center"/>
            <w:textDirection w:val="lrTb"/>
            <w:noWrap w:val="false"/>
          </w:tcPr>
          <w:p>
            <w:pPr>
              <w:jc w:val="center"/>
              <w:spacing w:after="0" w:line="240" w:lineRule="auto"/>
            </w:pPr>
            <w:r>
              <w:rPr>
                <w:rFonts w:ascii="Times New Roman" w:hAnsi="Times New Roman" w:eastAsia="Times New Roman" w:cs="Times New Roman"/>
                <w:b/>
                <w:sz w:val="24"/>
                <w:szCs w:val="24"/>
              </w:rPr>
              <w:t xml:space="preserve">Задаток,</w:t>
            </w:r>
            <w:r>
              <w:rPr>
                <w:rFonts w:ascii="Times New Roman" w:hAnsi="Times New Roman" w:eastAsia="Times New Roman" w:cs="Times New Roman"/>
                <w:b/>
                <w:sz w:val="24"/>
                <w:szCs w:val="24"/>
              </w:rPr>
            </w:r>
            <w:r/>
          </w:p>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руб.</w:t>
            </w:r>
            <w:r>
              <w:rPr>
                <w:rFonts w:ascii="Times New Roman" w:hAnsi="Times New Roman" w:eastAsia="Times New Roman" w:cs="Times New Roman"/>
                <w:b/>
                <w:sz w:val="24"/>
                <w:szCs w:val="24"/>
              </w:rPr>
            </w:r>
            <w:r/>
          </w:p>
        </w:tc>
      </w:tr>
      <w:tr>
        <w:trPr>
          <w:trHeight w:val="617"/>
        </w:trPr>
        <w:tc>
          <w:tcPr>
            <w:tcW w:w="709" w:type="dxa"/>
            <w:vAlign w:val="center"/>
            <w:vMerge w:val="restart"/>
            <w:textDirection w:val="lrTb"/>
            <w:noWrap w:val="false"/>
          </w:tcPr>
          <w:p>
            <w:pPr>
              <w:jc w:val="center"/>
              <w:spacing w:after="0" w:afterAutospacing="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16</w:t>
            </w:r>
            <w:r>
              <w:rPr>
                <w:rFonts w:ascii="Times New Roman" w:hAnsi="Times New Roman" w:eastAsia="Times New Roman" w:cs="Times New Roman"/>
                <w:b/>
                <w:sz w:val="24"/>
                <w:szCs w:val="24"/>
              </w:rPr>
            </w:r>
            <w:r/>
          </w:p>
        </w:tc>
        <w:tc>
          <w:tcPr>
            <w:tcW w:w="1558" w:type="dxa"/>
            <w:vAlign w:val="center"/>
            <w:textDirection w:val="lrTb"/>
            <w:noWrap w:val="false"/>
          </w:tcPr>
          <w:p>
            <w:pPr>
              <w:jc w:val="center"/>
              <w:spacing w:after="0" w:afterAutospacing="0" w:line="240" w:lineRule="auto"/>
              <w:rPr>
                <w:rFonts w:ascii="Times New Roman" w:hAnsi="Times New Roman" w:cs="Times New Roman"/>
              </w:rPr>
            </w:pPr>
            <w:r>
              <w:rPr>
                <w:rFonts w:ascii="Times New Roman" w:hAnsi="Times New Roman" w:cs="Times New Roman"/>
                <w:b/>
                <w:bCs/>
                <w:sz w:val="24"/>
                <w:szCs w:val="24"/>
              </w:rPr>
              <w:t xml:space="preserve">Окунь морской</w:t>
            </w:r>
            <w:r>
              <w:rPr>
                <w:rFonts w:ascii="Times New Roman" w:hAnsi="Times New Roman" w:cs="Times New Roman"/>
                <w:b/>
                <w:bCs/>
                <w:strike w:val="0"/>
                <w:sz w:val="24"/>
                <w:szCs w:val="24"/>
              </w:rPr>
            </w:r>
            <w:r/>
          </w:p>
        </w:tc>
        <w:tc>
          <w:tcPr>
            <w:tcW w:w="1559" w:type="dxa"/>
            <w:vAlign w:val="center"/>
            <w:textDirection w:val="lrTb"/>
            <w:noWrap w:val="false"/>
          </w:tcPr>
          <w:p>
            <w:pPr>
              <w:jc w:val="center"/>
              <w:spacing w:after="0" w:afterAutospacing="0" w:line="240" w:lineRule="auto"/>
              <w:rPr>
                <w:rFonts w:ascii="Times New Roman" w:hAnsi="Times New Roman" w:cs="Times New Roman"/>
              </w:rPr>
            </w:pPr>
            <w:r>
              <w:rPr>
                <w:rFonts w:ascii="Times New Roman" w:hAnsi="Times New Roman" w:cs="Times New Roman"/>
                <w:sz w:val="24"/>
                <w:szCs w:val="24"/>
              </w:rPr>
              <w:t xml:space="preserve">Северо-Курильская зона</w:t>
            </w:r>
            <w:r>
              <w:rPr>
                <w:rFonts w:ascii="Times New Roman" w:hAnsi="Times New Roman" w:cs="Times New Roman"/>
                <w:sz w:val="24"/>
                <w:szCs w:val="24"/>
              </w:rPr>
            </w:r>
            <w:r/>
          </w:p>
        </w:tc>
        <w:tc>
          <w:tcPr>
            <w:tcW w:w="1276" w:type="dxa"/>
            <w:vAlign w:val="center"/>
            <w:textDirection w:val="lrTb"/>
            <w:noWrap w:val="false"/>
          </w:tcPr>
          <w:p>
            <w:pPr>
              <w:jc w:val="center"/>
              <w:spacing w:after="0" w:afterAutospacing="0" w:line="240" w:lineRule="auto"/>
              <w:rPr>
                <w:rFonts w:ascii="Times New Roman" w:hAnsi="Times New Roman" w:cs="Times New Roman"/>
              </w:rPr>
            </w:pPr>
            <w:r>
              <w:rPr>
                <w:rFonts w:ascii="Times New Roman" w:hAnsi="Times New Roman" w:cs="Times New Roman"/>
                <w:b/>
                <w:bCs/>
                <w:sz w:val="24"/>
                <w:szCs w:val="24"/>
              </w:rPr>
              <w:t xml:space="preserve">35,158</w:t>
            </w:r>
            <w:r>
              <w:rPr>
                <w:rFonts w:ascii="Times New Roman" w:hAnsi="Times New Roman" w:cs="Times New Roman"/>
                <w:b/>
                <w:bCs/>
                <w:sz w:val="24"/>
                <w:szCs w:val="24"/>
              </w:rPr>
            </w:r>
            <w:r/>
          </w:p>
        </w:tc>
        <w:tc>
          <w:tcPr>
            <w:shd w:val="clear" w:color="ffffff" w:fill="ffffff"/>
            <w:tcW w:w="1984" w:type="dxa"/>
            <w:vAlign w:val="center"/>
            <w:vMerge w:val="restart"/>
            <w:textDirection w:val="lrTb"/>
            <w:noWrap w:val="false"/>
          </w:tcPr>
          <w:p>
            <w:pPr>
              <w:jc w:val="center"/>
              <w:spacing w:after="0" w:line="240" w:lineRule="auto"/>
              <w:rPr>
                <w:rFonts w:ascii="Times New Roman" w:hAnsi="Times New Roman" w:cs="Times New Roman"/>
              </w:rPr>
            </w:pPr>
            <w:r>
              <w:rPr>
                <w:rFonts w:ascii="Times New Roman" w:hAnsi="Times New Roman" w:cs="Times New Roman"/>
                <w:sz w:val="24"/>
                <w:szCs w:val="24"/>
              </w:rPr>
              <w:t xml:space="preserve">19 267 233,02</w:t>
            </w:r>
            <w:r>
              <w:rPr>
                <w:rFonts w:ascii="Times New Roman" w:hAnsi="Times New Roman" w:cs="Times New Roman"/>
              </w:rPr>
            </w:r>
            <w:r/>
          </w:p>
        </w:tc>
        <w:tc>
          <w:tcPr>
            <w:shd w:val="clear" w:color="ffffff" w:fill="ffffff"/>
            <w:tcW w:w="1843" w:type="dxa"/>
            <w:vAlign w:val="center"/>
            <w:vMerge w:val="restart"/>
            <w:textDirection w:val="lrTb"/>
            <w:noWrap w:val="false"/>
          </w:tcPr>
          <w:p>
            <w:pPr>
              <w:jc w:val="center"/>
              <w:spacing w:after="0" w:line="240" w:lineRule="auto"/>
              <w:rPr>
                <w:rFonts w:ascii="Times New Roman" w:hAnsi="Times New Roman" w:cs="Times New Roman"/>
              </w:rPr>
            </w:pPr>
            <w:r>
              <w:rPr>
                <w:rFonts w:ascii="Times New Roman" w:hAnsi="Times New Roman" w:cs="Times New Roman"/>
                <w:sz w:val="24"/>
                <w:szCs w:val="24"/>
              </w:rPr>
              <w:t xml:space="preserve">963 361,65</w:t>
            </w:r>
            <w:r>
              <w:rPr>
                <w:rFonts w:ascii="Times New Roman" w:hAnsi="Times New Roman" w:cs="Times New Roman"/>
              </w:rPr>
            </w:r>
            <w:r/>
          </w:p>
        </w:tc>
        <w:tc>
          <w:tcPr>
            <w:shd w:val="clear" w:color="ffffff" w:fill="ffffff"/>
            <w:tcW w:w="1418" w:type="dxa"/>
            <w:vAlign w:val="center"/>
            <w:vMerge w:val="restart"/>
            <w:textDirection w:val="lrTb"/>
            <w:noWrap w:val="false"/>
          </w:tcPr>
          <w:p>
            <w:pPr>
              <w:jc w:val="center"/>
              <w:spacing w:after="0" w:line="240" w:lineRule="auto"/>
              <w:rPr>
                <w:rFonts w:ascii="Times New Roman" w:hAnsi="Times New Roman" w:cs="Times New Roman"/>
              </w:rPr>
            </w:pPr>
            <w:r>
              <w:rPr>
                <w:rFonts w:ascii="Times New Roman" w:hAnsi="Times New Roman" w:cs="Times New Roman"/>
                <w:sz w:val="24"/>
                <w:szCs w:val="24"/>
              </w:rPr>
              <w:t xml:space="preserve">9 633 617</w:t>
            </w:r>
            <w:r>
              <w:rPr>
                <w:rFonts w:ascii="Times New Roman" w:hAnsi="Times New Roman" w:cs="Times New Roman"/>
              </w:rPr>
            </w:r>
            <w:r/>
          </w:p>
        </w:tc>
      </w:tr>
    </w:tbl>
    <w:p>
      <w:pPr>
        <w:pStyle w:val="981"/>
        <w:ind w:left="0" w:firstLine="567"/>
        <w:jc w:val="both"/>
        <w:spacing w:after="0" w:line="240" w:lineRule="auto"/>
        <w:tabs>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r>
      <w:r>
        <w:rPr>
          <w:rFonts w:ascii="Times New Roman" w:hAnsi="Times New Roman" w:cs="Times New Roman"/>
          <w:sz w:val="28"/>
          <w:szCs w:val="28"/>
        </w:rPr>
      </w:r>
      <w:r/>
    </w:p>
    <w:p>
      <w:pPr>
        <w:pStyle w:val="981"/>
        <w:ind w:left="0" w:firstLine="567"/>
        <w:jc w:val="both"/>
        <w:spacing w:after="0" w:line="240" w:lineRule="auto"/>
        <w:tabs>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r>
      <w:r/>
    </w:p>
    <w:p>
      <w:pPr>
        <w:pStyle w:val="981"/>
        <w:ind w:left="0" w:firstLine="567"/>
        <w:jc w:val="both"/>
        <w:spacing w:after="0" w:line="240" w:lineRule="auto"/>
        <w:tabs>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r>
      <w:r>
        <w:rPr>
          <w:rFonts w:ascii="Times New Roman" w:hAnsi="Times New Roman" w:cs="Times New Roman"/>
          <w:sz w:val="28"/>
          <w:szCs w:val="28"/>
        </w:rPr>
        <w:t xml:space="preserve">Договор о закреплении доли квоты добычи (вылова) водных биологических ресурсов будет заключен с победителем со сроком действия</w:t>
      </w:r>
      <w:r>
        <w:rPr>
          <w:rFonts w:ascii="Times New Roman" w:hAnsi="Times New Roman" w:cs="Times New Roman"/>
          <w:sz w:val="28"/>
          <w:szCs w:val="28"/>
        </w:rPr>
        <w:t xml:space="preserve"> по 31 декабря 2033 года.</w:t>
      </w:r>
      <w:r>
        <w:rPr>
          <w:rFonts w:ascii="Times New Roman" w:hAnsi="Times New Roman" w:cs="Times New Roman"/>
          <w:highlight w:val="none"/>
        </w:rPr>
      </w:r>
      <w:r/>
    </w:p>
    <w:p>
      <w:pPr>
        <w:pStyle w:val="965"/>
        <w:ind w:firstLine="567"/>
        <w:jc w:val="both"/>
      </w:pPr>
      <w:r>
        <w:rPr>
          <w:rFonts w:ascii="Times New Roman" w:hAnsi="Times New Roman" w:cs="Times New Roman"/>
          <w:sz w:val="28"/>
          <w:szCs w:val="28"/>
        </w:rPr>
        <w:t xml:space="preserve">Федеральное аген</w:t>
      </w:r>
      <w:r>
        <w:rPr>
          <w:rFonts w:ascii="Times New Roman" w:hAnsi="Times New Roman" w:cs="Times New Roman"/>
          <w:sz w:val="28"/>
          <w:szCs w:val="28"/>
        </w:rPr>
        <w:t xml:space="preserve">т</w:t>
      </w:r>
      <w:r>
        <w:rPr>
          <w:rFonts w:ascii="Times New Roman" w:hAnsi="Times New Roman" w:cs="Times New Roman"/>
          <w:sz w:val="28"/>
          <w:szCs w:val="28"/>
        </w:rPr>
        <w:t xml:space="preserve">ство по рыболовству </w:t>
      </w:r>
      <w:r>
        <w:rPr>
          <w:rFonts w:ascii="Times New Roman" w:hAnsi="Times New Roman" w:cs="Times New Roman"/>
          <w:sz w:val="28"/>
          <w:szCs w:val="28"/>
        </w:rPr>
        <w:t xml:space="preserve">вправе принять решение об отмене проведения аукциона в сроки, установленные Гражданским </w:t>
      </w:r>
      <w:hyperlink r:id="rId16" w:tooltip="consultantplus://offline/ref=1F0BBD39352E8C5FB8A9897FEFED1EA0A86F7E79983F4FF082C6432FC04F4082BDAD6213B0E0CC40E716AAC189C1K9G" w:history="1">
        <w:r>
          <w:rPr>
            <w:rFonts w:ascii="Times New Roman" w:hAnsi="Times New Roman" w:cs="Times New Roman"/>
            <w:sz w:val="28"/>
            <w:szCs w:val="28"/>
          </w:rPr>
          <w:t xml:space="preserve">кодексом</w:t>
        </w:r>
      </w:hyperlink>
      <w:r>
        <w:rPr>
          <w:rFonts w:ascii="Times New Roman" w:hAnsi="Times New Roman" w:cs="Times New Roman"/>
          <w:sz w:val="28"/>
          <w:szCs w:val="28"/>
        </w:rPr>
        <w:t xml:space="preserve"> Российской Федерации. </w:t>
      </w:r>
      <w:r>
        <w:rPr>
          <w:rFonts w:ascii="Times New Roman" w:hAnsi="Times New Roman" w:cs="Times New Roman"/>
          <w:sz w:val="28"/>
          <w:szCs w:val="28"/>
        </w:rPr>
      </w:r>
      <w:r/>
    </w:p>
    <w:p>
      <w:pPr>
        <w:pStyle w:val="981"/>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t xml:space="preserve">Срок отмены проведения аукциона: </w:t>
      </w:r>
      <w:r>
        <w:rPr>
          <w:rFonts w:ascii="Times New Roman" w:hAnsi="Times New Roman" w:cs="Times New Roman"/>
          <w:sz w:val="28"/>
          <w:szCs w:val="28"/>
        </w:rPr>
        <w:t xml:space="preserve">«</w:t>
      </w:r>
      <w:r>
        <w:rPr>
          <w:rFonts w:ascii="Times New Roman" w:hAnsi="Times New Roman" w:cs="Times New Roman"/>
          <w:sz w:val="28"/>
          <w:szCs w:val="28"/>
        </w:rPr>
        <w:t xml:space="preserve">16»</w:t>
      </w:r>
      <w:r>
        <w:rPr>
          <w:rFonts w:ascii="Times New Roman" w:hAnsi="Times New Roman" w:cs="Times New Roman"/>
          <w:sz w:val="28"/>
          <w:szCs w:val="28"/>
        </w:rPr>
        <w:t xml:space="preserve"> </w:t>
      </w:r>
      <w:r>
        <w:rPr>
          <w:rFonts w:ascii="Times New Roman" w:hAnsi="Times New Roman" w:cs="Times New Roman"/>
          <w:sz w:val="28"/>
          <w:szCs w:val="28"/>
        </w:rPr>
        <w:t xml:space="preserve">мая </w:t>
      </w:r>
      <w:r>
        <w:rPr>
          <w:rFonts w:ascii="Times New Roman" w:hAnsi="Times New Roman" w:cs="Times New Roman"/>
          <w:sz w:val="28"/>
          <w:szCs w:val="28"/>
        </w:rPr>
        <w:t xml:space="preserve">20</w:t>
      </w:r>
      <w:r>
        <w:rPr>
          <w:rFonts w:ascii="Times New Roman" w:hAnsi="Times New Roman" w:cs="Times New Roman"/>
          <w:sz w:val="28"/>
          <w:szCs w:val="28"/>
        </w:rPr>
        <w:t xml:space="preserve">25</w:t>
      </w:r>
      <w:r>
        <w:rPr>
          <w:rFonts w:ascii="Times New Roman" w:hAnsi="Times New Roman" w:cs="Times New Roman"/>
          <w:sz w:val="28"/>
          <w:szCs w:val="28"/>
        </w:rPr>
        <w:t xml:space="preserve"> г.</w:t>
      </w:r>
      <w:r>
        <w:rPr>
          <w:rFonts w:ascii="Times New Roman" w:hAnsi="Times New Roman" w:cs="Times New Roman"/>
          <w:sz w:val="28"/>
          <w:szCs w:val="28"/>
        </w:rPr>
      </w:r>
      <w:r/>
    </w:p>
    <w:p>
      <w:pPr>
        <w:pStyle w:val="981"/>
        <w:ind w:left="0" w:firstLine="567"/>
        <w:jc w:val="both"/>
        <w:spacing w:after="0" w:line="240" w:lineRule="auto"/>
        <w:tabs>
          <w:tab w:val="left" w:pos="426" w:leader="none"/>
          <w:tab w:val="left" w:pos="993"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Организатор аукциона - Росрыболовство.</w:t>
      </w:r>
      <w:r>
        <w:rPr>
          <w:rFonts w:ascii="Times New Roman" w:hAnsi="Times New Roman" w:eastAsia="Times New Roman" w:cs="Times New Roman"/>
          <w:color w:val="000000"/>
          <w:sz w:val="28"/>
          <w:szCs w:val="28"/>
        </w:rPr>
      </w:r>
      <w:r/>
    </w:p>
    <w:p>
      <w:pPr>
        <w:ind w:firstLine="567"/>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Адрес </w:t>
      </w:r>
      <w:r>
        <w:rPr>
          <w:rFonts w:ascii="Times New Roman" w:hAnsi="Times New Roman" w:eastAsia="Times New Roman" w:cs="Times New Roman"/>
          <w:color w:val="000000"/>
          <w:sz w:val="28"/>
          <w:szCs w:val="28"/>
        </w:rPr>
        <w:t xml:space="preserve">места нахождения </w:t>
      </w:r>
      <w:r>
        <w:rPr>
          <w:rFonts w:ascii="Times New Roman" w:hAnsi="Times New Roman" w:eastAsia="Times New Roman" w:cs="Times New Roman"/>
          <w:color w:val="000000"/>
          <w:sz w:val="28"/>
          <w:szCs w:val="28"/>
        </w:rPr>
        <w:t xml:space="preserve">организатора аукциона, комиссии организатора аукциона:</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107996, г. Москва, Рождественский бульвар, д. 12/8</w:t>
      </w: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 стр. 1.</w:t>
      </w:r>
      <w:r>
        <w:rPr>
          <w:rFonts w:ascii="Times New Roman" w:hAnsi="Times New Roman" w:eastAsia="Times New Roman" w:cs="Times New Roman"/>
          <w:color w:val="000000"/>
          <w:sz w:val="28"/>
          <w:szCs w:val="28"/>
        </w:rPr>
      </w:r>
      <w:r/>
    </w:p>
    <w:p>
      <w:pPr>
        <w:ind w:firstLine="567"/>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Адрес электронной почты: </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hazhbieva@fish.gov.ru</w:t>
      </w:r>
      <w:r>
        <w:t xml:space="preserve">.</w:t>
      </w:r>
      <w:r/>
    </w:p>
    <w:p>
      <w:pPr>
        <w:ind w:firstLine="567"/>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Контактный телефон:</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+7(495)987-06-20 (Хажбиева Рузанна Мухамедовна).</w:t>
      </w:r>
      <w:r>
        <w:rPr>
          <w:rFonts w:ascii="Times New Roman" w:hAnsi="Times New Roman" w:eastAsia="Times New Roman" w:cs="Times New Roman"/>
          <w:color w:val="000000"/>
          <w:sz w:val="28"/>
          <w:szCs w:val="28"/>
        </w:rPr>
      </w:r>
      <w:r/>
    </w:p>
    <w:p>
      <w:pPr>
        <w:pStyle w:val="981"/>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sz w:val="28"/>
          <w:szCs w:val="28"/>
        </w:rPr>
        <w:t xml:space="preserve">Оператор электронной площадки – </w:t>
      </w:r>
      <w:r>
        <w:rPr>
          <w:rFonts w:ascii="Times New Roman" w:hAnsi="Times New Roman" w:eastAsia="Times New Roman" w:cs="Times New Roman"/>
          <w:sz w:val="28"/>
          <w:szCs w:val="28"/>
        </w:rPr>
        <w:t xml:space="preserve">АО «Российский аукционный дом»</w:t>
      </w:r>
      <w:r>
        <w:rPr>
          <w:rFonts w:ascii="Times New Roman" w:hAnsi="Times New Roman" w:eastAsia="Times New Roman" w:cs="Times New Roman"/>
          <w:sz w:val="28"/>
          <w:szCs w:val="28"/>
        </w:rPr>
        <w:t xml:space="preserve">.</w:t>
      </w:r>
      <w:r>
        <w:rPr>
          <w:rFonts w:ascii="Times New Roman" w:hAnsi="Times New Roman" w:eastAsia="Times New Roman" w:cs="Times New Roman"/>
          <w:color w:val="000000"/>
          <w:sz w:val="28"/>
          <w:szCs w:val="28"/>
        </w:rPr>
      </w:r>
      <w:r/>
    </w:p>
    <w:p>
      <w:pPr>
        <w:pStyle w:val="981"/>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sz w:val="28"/>
          <w:szCs w:val="28"/>
        </w:rPr>
        <w:t xml:space="preserve">Адрес сайта оператора электронной площадки в информационно-телекоммуникационной сети «Интернет»:</w:t>
      </w:r>
      <w:r>
        <w:rPr>
          <w:rFonts w:ascii="Times New Roman" w:hAnsi="Times New Roman" w:eastAsia="Times New Roman" w:cs="Times New Roman"/>
          <w:sz w:val="28"/>
          <w:szCs w:val="28"/>
        </w:rPr>
        <w:t xml:space="preserve"> </w:t>
      </w:r>
      <w:r>
        <w:rPr>
          <w:rFonts w:ascii="Times New Roman" w:hAnsi="Times New Roman" w:eastAsia="Times New Roman" w:cs="Times New Roman"/>
          <w:sz w:val="28"/>
          <w:szCs w:val="28"/>
        </w:rPr>
        <w:t xml:space="preserve">https://lot-online.ru.</w:t>
      </w:r>
      <w:r>
        <w:rPr>
          <w:rFonts w:ascii="Times New Roman" w:hAnsi="Times New Roman" w:eastAsia="Times New Roman" w:cs="Times New Roman"/>
          <w:sz w:val="28"/>
          <w:szCs w:val="28"/>
        </w:rPr>
      </w:r>
      <w:r/>
    </w:p>
    <w:p>
      <w:pPr>
        <w:pStyle w:val="981"/>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sz w:val="28"/>
          <w:szCs w:val="28"/>
        </w:rPr>
        <w:t xml:space="preserve">Реквизиты решения о проведен</w:t>
      </w:r>
      <w:r>
        <w:rPr>
          <w:rFonts w:ascii="Times New Roman" w:hAnsi="Times New Roman" w:eastAsia="Times New Roman" w:cs="Times New Roman"/>
          <w:sz w:val="28"/>
          <w:szCs w:val="28"/>
        </w:rPr>
        <w:t xml:space="preserve">ии ау</w:t>
      </w:r>
      <w:r>
        <w:rPr>
          <w:rFonts w:ascii="Times New Roman" w:hAnsi="Times New Roman" w:eastAsia="Times New Roman" w:cs="Times New Roman"/>
          <w:sz w:val="28"/>
          <w:szCs w:val="28"/>
        </w:rPr>
        <w:t xml:space="preserve">кциона в электронной форме</w:t>
      </w:r>
      <w:r>
        <w:rPr>
          <w:rFonts w:ascii="Times New Roman" w:hAnsi="Times New Roman" w:eastAsia="Times New Roman" w:cs="Times New Roman"/>
          <w:sz w:val="28"/>
          <w:szCs w:val="28"/>
        </w:rPr>
        <w:t xml:space="preserve">: приказ Федерального агентства по </w:t>
      </w:r>
      <w:r>
        <w:rPr>
          <w:rFonts w:ascii="Times New Roman" w:hAnsi="Times New Roman" w:eastAsia="Times New Roman" w:cs="Times New Roman"/>
          <w:sz w:val="28"/>
          <w:szCs w:val="28"/>
        </w:rPr>
        <w:t xml:space="preserve">рыболовству от </w:t>
      </w:r>
      <w:r>
        <w:rPr>
          <w:rFonts w:ascii="Times New Roman" w:hAnsi="Times New Roman" w:eastAsia="Times New Roman" w:cs="Times New Roman"/>
          <w:sz w:val="28"/>
          <w:szCs w:val="28"/>
        </w:rPr>
        <w:t xml:space="preserve">«</w:t>
      </w:r>
      <w:r>
        <w:rPr>
          <w:rFonts w:ascii="Times New Roman" w:hAnsi="Times New Roman" w:eastAsia="Times New Roman" w:cs="Times New Roman"/>
          <w:sz w:val="28"/>
          <w:szCs w:val="28"/>
        </w:rPr>
        <w:t xml:space="preserve">28»</w:t>
      </w:r>
      <w:r>
        <w:rPr>
          <w:rFonts w:ascii="Times New Roman" w:hAnsi="Times New Roman" w:eastAsia="Times New Roman" w:cs="Times New Roman"/>
          <w:sz w:val="28"/>
          <w:szCs w:val="28"/>
        </w:rPr>
        <w:t xml:space="preserve"> </w:t>
      </w:r>
      <w:r>
        <w:rPr>
          <w:rFonts w:ascii="Times New Roman" w:hAnsi="Times New Roman" w:eastAsia="Times New Roman" w:cs="Times New Roman"/>
          <w:sz w:val="28"/>
          <w:szCs w:val="28"/>
        </w:rPr>
        <w:t xml:space="preserve">апреля 2025 г. </w:t>
      </w:r>
      <w:r>
        <w:rPr>
          <w:rFonts w:ascii="Times New Roman" w:hAnsi="Times New Roman" w:eastAsia="Times New Roman" w:cs="Times New Roman"/>
          <w:sz w:val="28"/>
          <w:szCs w:val="28"/>
        </w:rPr>
        <w:t xml:space="preserve">№ </w:t>
      </w:r>
      <w:r>
        <w:rPr>
          <w:rFonts w:ascii="Times New Roman" w:hAnsi="Times New Roman" w:eastAsia="Times New Roman" w:cs="Times New Roman"/>
          <w:sz w:val="28"/>
          <w:szCs w:val="28"/>
        </w:rPr>
        <w:t xml:space="preserve">244.</w:t>
      </w:r>
      <w:r>
        <w:rPr>
          <w:rFonts w:ascii="Times New Roman" w:hAnsi="Times New Roman" w:eastAsia="Times New Roman" w:cs="Times New Roman"/>
          <w:color w:val="000000"/>
          <w:sz w:val="28"/>
          <w:szCs w:val="28"/>
        </w:rPr>
      </w:r>
      <w:r/>
    </w:p>
    <w:p>
      <w:pPr>
        <w:pStyle w:val="981"/>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cs="Times New Roman"/>
          <w:color w:val="000000"/>
          <w:sz w:val="28"/>
          <w:szCs w:val="28"/>
        </w:rPr>
        <w:t xml:space="preserve">Официальны</w:t>
      </w:r>
      <w:r>
        <w:rPr>
          <w:rFonts w:ascii="Times New Roman" w:hAnsi="Times New Roman" w:cs="Times New Roman"/>
          <w:color w:val="000000"/>
          <w:sz w:val="28"/>
          <w:szCs w:val="28"/>
        </w:rPr>
        <w:t xml:space="preserve">е</w:t>
      </w:r>
      <w:r>
        <w:rPr>
          <w:rFonts w:ascii="Times New Roman" w:hAnsi="Times New Roman" w:cs="Times New Roman"/>
          <w:color w:val="000000"/>
          <w:sz w:val="28"/>
          <w:szCs w:val="28"/>
        </w:rPr>
        <w:t xml:space="preserve"> сайт</w:t>
      </w:r>
      <w:r>
        <w:rPr>
          <w:rFonts w:ascii="Times New Roman" w:hAnsi="Times New Roman" w:cs="Times New Roman"/>
          <w:color w:val="000000"/>
          <w:sz w:val="28"/>
          <w:szCs w:val="28"/>
        </w:rPr>
        <w:t xml:space="preserve">ы</w:t>
      </w:r>
      <w:r>
        <w:rPr>
          <w:rFonts w:ascii="Times New Roman" w:hAnsi="Times New Roman" w:cs="Times New Roman"/>
          <w:color w:val="000000"/>
          <w:sz w:val="28"/>
          <w:szCs w:val="28"/>
        </w:rPr>
        <w:t xml:space="preserve">, на котор</w:t>
      </w:r>
      <w:r>
        <w:rPr>
          <w:rFonts w:ascii="Times New Roman" w:hAnsi="Times New Roman" w:cs="Times New Roman"/>
          <w:color w:val="000000"/>
          <w:sz w:val="28"/>
          <w:szCs w:val="28"/>
        </w:rPr>
        <w:t xml:space="preserve">ых</w:t>
      </w:r>
      <w:r>
        <w:rPr>
          <w:rFonts w:ascii="Times New Roman" w:hAnsi="Times New Roman" w:cs="Times New Roman"/>
          <w:color w:val="000000"/>
          <w:sz w:val="28"/>
          <w:szCs w:val="28"/>
        </w:rPr>
        <w:t xml:space="preserve"> размещена документация об аукционе</w:t>
      </w:r>
      <w:r>
        <w:rPr>
          <w:rFonts w:ascii="Times New Roman" w:hAnsi="Times New Roman" w:cs="Times New Roman"/>
          <w:color w:val="000000"/>
          <w:sz w:val="28"/>
          <w:szCs w:val="28"/>
        </w:rPr>
        <w:t xml:space="preserve">:</w:t>
      </w:r>
      <w:r>
        <w:rPr>
          <w:rFonts w:ascii="Times New Roman" w:hAnsi="Times New Roman" w:cs="Times New Roman"/>
          <w:color w:val="000000"/>
          <w:sz w:val="28"/>
          <w:szCs w:val="28"/>
        </w:rPr>
        <w:t xml:space="preserve"> </w:t>
      </w:r>
      <w:hyperlink r:id="rId17" w:tooltip="http://www.torgi.gov.ru" w:history="1">
        <w:r>
          <w:rPr>
            <w:rStyle w:val="983"/>
            <w:rFonts w:ascii="Times New Roman" w:hAnsi="Times New Roman" w:cs="Times New Roman"/>
            <w:sz w:val="28"/>
            <w:szCs w:val="28"/>
          </w:rPr>
          <w:t xml:space="preserve">http://www.</w:t>
        </w:r>
        <w:r>
          <w:rPr>
            <w:rStyle w:val="983"/>
            <w:rFonts w:ascii="Times New Roman" w:hAnsi="Times New Roman" w:cs="Times New Roman"/>
            <w:sz w:val="28"/>
            <w:szCs w:val="28"/>
            <w:lang w:val="en-US"/>
          </w:rPr>
          <w:t xml:space="preserve">torgi</w:t>
        </w:r>
        <w:r>
          <w:rPr>
            <w:rStyle w:val="983"/>
            <w:rFonts w:ascii="Times New Roman" w:hAnsi="Times New Roman" w:cs="Times New Roman"/>
            <w:sz w:val="28"/>
            <w:szCs w:val="28"/>
          </w:rPr>
          <w:t xml:space="preserve">.</w:t>
        </w:r>
        <w:r>
          <w:rPr>
            <w:rStyle w:val="983"/>
            <w:rFonts w:ascii="Times New Roman" w:hAnsi="Times New Roman" w:cs="Times New Roman"/>
            <w:sz w:val="28"/>
            <w:szCs w:val="28"/>
            <w:lang w:val="en-US"/>
          </w:rPr>
          <w:t xml:space="preserve">gov</w:t>
        </w:r>
        <w:r>
          <w:rPr>
            <w:rStyle w:val="983"/>
            <w:rFonts w:ascii="Times New Roman" w:hAnsi="Times New Roman" w:cs="Times New Roman"/>
            <w:sz w:val="28"/>
            <w:szCs w:val="28"/>
          </w:rPr>
          <w:t xml:space="preserve">.</w:t>
        </w:r>
        <w:r>
          <w:rPr>
            <w:rStyle w:val="983"/>
            <w:rFonts w:ascii="Times New Roman" w:hAnsi="Times New Roman" w:cs="Times New Roman"/>
            <w:sz w:val="28"/>
            <w:szCs w:val="28"/>
            <w:lang w:val="en-US"/>
          </w:rPr>
          <w:t xml:space="preserve">ru</w:t>
        </w:r>
      </w:hyperlink>
      <w:r>
        <w:rPr>
          <w:rFonts w:ascii="Times New Roman" w:hAnsi="Times New Roman" w:cs="Times New Roman"/>
          <w:sz w:val="28"/>
          <w:szCs w:val="28"/>
        </w:rPr>
        <w:t xml:space="preserve">; </w:t>
      </w:r>
      <w:hyperlink r:id="rId18" w:tooltip="https://lot-online.ru" w:history="1">
        <w:r>
          <w:rPr>
            <w:rStyle w:val="983"/>
            <w:rFonts w:ascii="Times New Roman" w:hAnsi="Times New Roman" w:cs="Times New Roman"/>
            <w:sz w:val="28"/>
            <w:szCs w:val="28"/>
          </w:rPr>
          <w:t xml:space="preserve">https://lot-online.ru</w:t>
        </w:r>
      </w:hyperlink>
      <w:r>
        <w:rPr>
          <w:rFonts w:ascii="Times New Roman" w:hAnsi="Times New Roman" w:cs="Times New Roman"/>
          <w:sz w:val="28"/>
          <w:szCs w:val="28"/>
        </w:rPr>
        <w:t xml:space="preserve"> </w:t>
      </w:r>
      <w:r>
        <w:rPr>
          <w:rFonts w:ascii="Times New Roman" w:hAnsi="Times New Roman" w:cs="Times New Roman"/>
          <w:sz w:val="28"/>
          <w:szCs w:val="28"/>
        </w:rPr>
        <w:t xml:space="preserve">и</w:t>
      </w:r>
      <w:r>
        <w:rPr>
          <w:rFonts w:ascii="Times New Roman" w:hAnsi="Times New Roman" w:cs="Times New Roman"/>
          <w:sz w:val="28"/>
          <w:szCs w:val="28"/>
        </w:rPr>
        <w:t xml:space="preserve"> </w:t>
      </w:r>
      <w:hyperlink r:id="rId19" w:tooltip="http://www.fish.gov.ru" w:history="1">
        <w:r>
          <w:rPr>
            <w:rStyle w:val="983"/>
            <w:rFonts w:ascii="Times New Roman" w:hAnsi="Times New Roman" w:cs="Times New Roman"/>
            <w:sz w:val="28"/>
            <w:szCs w:val="28"/>
          </w:rPr>
          <w:t xml:space="preserve">http://www.fish.gov.ru</w:t>
        </w:r>
      </w:hyperlink>
      <w:r>
        <w:rPr>
          <w:rStyle w:val="983"/>
          <w:rFonts w:ascii="Times New Roman" w:hAnsi="Times New Roman" w:cs="Times New Roman"/>
          <w:color w:val="auto"/>
          <w:sz w:val="28"/>
          <w:szCs w:val="28"/>
        </w:rPr>
        <w:t xml:space="preserve">.</w:t>
      </w:r>
      <w:r>
        <w:rPr>
          <w:rStyle w:val="983"/>
        </w:rPr>
      </w:r>
      <w:r/>
    </w:p>
    <w:p>
      <w:pPr>
        <w:pStyle w:val="981"/>
        <w:ind w:left="0" w:firstLine="426"/>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cs="Times New Roman"/>
          <w:color w:val="auto"/>
          <w:sz w:val="28"/>
          <w:szCs w:val="28"/>
        </w:rPr>
      </w:r>
      <w:r>
        <w:rPr>
          <w:rStyle w:val="983"/>
        </w:rPr>
      </w:r>
      <w:r/>
    </w:p>
    <w:p>
      <w:pPr>
        <w:pStyle w:val="989"/>
        <w:jc w:val="center"/>
        <w:outlineLvl w:val="1"/>
      </w:pPr>
      <w:r>
        <w:rPr>
          <w:rFonts w:ascii="Times New Roman" w:hAnsi="Times New Roman" w:cs="Times New Roman"/>
          <w:sz w:val="28"/>
          <w:szCs w:val="28"/>
        </w:rPr>
        <w:t xml:space="preserve">2. Требования к </w:t>
      </w:r>
      <w:r>
        <w:rPr>
          <w:rFonts w:ascii="Times New Roman" w:hAnsi="Times New Roman" w:cs="Times New Roman"/>
          <w:sz w:val="28"/>
          <w:szCs w:val="28"/>
        </w:rPr>
        <w:t xml:space="preserve">заявителям</w:t>
      </w:r>
      <w:r>
        <w:rPr>
          <w:rFonts w:ascii="Times New Roman" w:hAnsi="Times New Roman" w:cs="Times New Roman"/>
          <w:b w:val="0"/>
          <w:sz w:val="28"/>
          <w:szCs w:val="28"/>
        </w:rPr>
        <w:t xml:space="preserve"> </w:t>
      </w:r>
      <w:r>
        <w:rPr>
          <w:rFonts w:ascii="Times New Roman" w:hAnsi="Times New Roman" w:cs="Times New Roman"/>
          <w:sz w:val="28"/>
          <w:szCs w:val="28"/>
        </w:rPr>
      </w:r>
      <w:r/>
    </w:p>
    <w:p>
      <w:pPr>
        <w:pStyle w:val="981"/>
        <w:ind w:left="0"/>
        <w:jc w:val="center"/>
        <w:spacing w:after="0" w:line="240" w:lineRule="auto"/>
        <w:tabs>
          <w:tab w:val="left" w:pos="10992" w:leader="none"/>
          <w:tab w:val="left" w:pos="11908" w:leader="none"/>
          <w:tab w:val="left" w:pos="12824" w:leader="none"/>
          <w:tab w:val="left" w:pos="13740" w:leader="none"/>
          <w:tab w:val="left" w:pos="14656" w:leader="none"/>
        </w:tabs>
      </w:pPr>
      <w:r>
        <w:rPr>
          <w:rFonts w:ascii="Times New Roman" w:hAnsi="Times New Roman" w:cs="Times New Roman"/>
          <w:b/>
          <w:bCs/>
          <w:sz w:val="28"/>
          <w:szCs w:val="28"/>
        </w:rPr>
      </w:r>
      <w:r>
        <w:rPr>
          <w:rFonts w:ascii="Times New Roman" w:hAnsi="Times New Roman" w:cs="Times New Roman"/>
          <w:b/>
          <w:bCs/>
          <w:sz w:val="28"/>
          <w:szCs w:val="28"/>
        </w:rPr>
      </w:r>
      <w:r/>
    </w:p>
    <w:p>
      <w:pPr>
        <w:pStyle w:val="989"/>
        <w:ind w:firstLine="539"/>
        <w:jc w:val="both"/>
        <w:outlineLvl w:val="1"/>
      </w:pPr>
      <w:r>
        <w:rPr>
          <w:rFonts w:ascii="Times New Roman" w:hAnsi="Times New Roman" w:cs="Times New Roman"/>
          <w:b w:val="0"/>
          <w:sz w:val="28"/>
          <w:szCs w:val="28"/>
        </w:rPr>
        <w:t xml:space="preserve">2.</w:t>
      </w:r>
      <w:r>
        <w:rPr>
          <w:rFonts w:ascii="Times New Roman" w:hAnsi="Times New Roman" w:cs="Times New Roman"/>
          <w:b w:val="0"/>
          <w:sz w:val="28"/>
          <w:szCs w:val="28"/>
        </w:rPr>
        <w:t xml:space="preserve">1.</w:t>
      </w:r>
      <w:r>
        <w:rPr>
          <w:rFonts w:ascii="Times New Roman" w:hAnsi="Times New Roman" w:cs="Times New Roman"/>
          <w:b w:val="0"/>
          <w:sz w:val="28"/>
          <w:szCs w:val="28"/>
        </w:rPr>
        <w:t xml:space="preserve"> Для участия в аукционе заявитель должен соответствовать следующим требованиям:</w:t>
      </w:r>
      <w:r>
        <w:rPr>
          <w:rFonts w:ascii="Times New Roman" w:hAnsi="Times New Roman" w:cs="Times New Roman"/>
          <w:b w:val="0"/>
          <w:sz w:val="28"/>
          <w:szCs w:val="28"/>
        </w:rPr>
      </w:r>
      <w:r/>
    </w:p>
    <w:p>
      <w:pPr>
        <w:pStyle w:val="965"/>
        <w:ind w:firstLine="540"/>
        <w:jc w:val="both"/>
      </w:pPr>
      <w:r>
        <w:rPr>
          <w:rFonts w:ascii="Times New Roman" w:hAnsi="Times New Roman" w:cs="Times New Roman"/>
          <w:sz w:val="28"/>
          <w:szCs w:val="28"/>
        </w:rPr>
        <w:t xml:space="preserve">а) в отношении заявителя не проводятся процедуры банкротства и ликвидации;</w:t>
      </w:r>
      <w:r>
        <w:rPr>
          <w:rFonts w:ascii="Times New Roman" w:hAnsi="Times New Roman" w:cs="Times New Roman"/>
          <w:sz w:val="28"/>
          <w:szCs w:val="28"/>
        </w:rPr>
      </w:r>
      <w:r/>
    </w:p>
    <w:p>
      <w:pPr>
        <w:pStyle w:val="965"/>
        <w:ind w:firstLine="540"/>
        <w:jc w:val="both"/>
      </w:pPr>
      <w:r>
        <w:rPr>
          <w:rFonts w:ascii="Times New Roman" w:hAnsi="Times New Roman" w:cs="Times New Roman"/>
          <w:sz w:val="28"/>
          <w:szCs w:val="28"/>
        </w:rPr>
        <w:t xml:space="preserve">б) деятельность заявителя не приостановлена в порядке, предусмотренном </w:t>
      </w:r>
      <w:hyperlink r:id="rId20" w:tooltip="consultantplus://offline/ref=1F0BBD39352E8C5FB8A9897FEFED1EA0A86F78719E3C4FF082C6432FC04F4082BDAD6213B0E0CC40E716AAC189C1K9G" w:history="1">
        <w:r>
          <w:rPr>
            <w:rFonts w:ascii="Times New Roman" w:hAnsi="Times New Roman" w:cs="Times New Roman"/>
            <w:color w:val="0000ff"/>
            <w:sz w:val="28"/>
            <w:szCs w:val="28"/>
          </w:rPr>
          <w:t xml:space="preserve">Кодексом</w:t>
        </w:r>
      </w:hyperlink>
      <w:r>
        <w:rPr>
          <w:rFonts w:ascii="Times New Roman" w:hAnsi="Times New Roman" w:cs="Times New Roman"/>
          <w:sz w:val="28"/>
          <w:szCs w:val="28"/>
        </w:rPr>
        <w:t xml:space="preserve"> Российской Федерации об административных правонарушениях, на день подачи заявки;</w:t>
      </w:r>
      <w:r>
        <w:rPr>
          <w:rFonts w:ascii="Times New Roman" w:hAnsi="Times New Roman" w:cs="Times New Roman"/>
          <w:sz w:val="28"/>
          <w:szCs w:val="28"/>
        </w:rPr>
      </w:r>
      <w:r/>
    </w:p>
    <w:p>
      <w:pPr>
        <w:pStyle w:val="965"/>
        <w:ind w:firstLine="540"/>
        <w:jc w:val="both"/>
      </w:pPr>
      <w:r>
        <w:rPr>
          <w:rFonts w:ascii="Times New Roman" w:hAnsi="Times New Roman" w:cs="Times New Roman"/>
          <w:sz w:val="28"/>
          <w:szCs w:val="28"/>
        </w:rPr>
      </w:r>
      <w:bookmarkStart w:id="0" w:name="undefined"/>
      <w:r>
        <w:rPr>
          <w:rFonts w:ascii="Times New Roman" w:hAnsi="Times New Roman" w:cs="Times New Roman"/>
          <w:sz w:val="28"/>
          <w:szCs w:val="28"/>
        </w:rPr>
      </w:r>
      <w:bookmarkEnd w:id="0"/>
      <w:r>
        <w:rPr>
          <w:rFonts w:ascii="Times New Roman" w:hAnsi="Times New Roman" w:cs="Times New Roman"/>
          <w:sz w:val="28"/>
          <w:szCs w:val="28"/>
        </w:rPr>
        <w:t xml:space="preserve">в) у заявителя отсутствует задолженность по начисленным налогам, сборам и иным обязательным платежам в соответствующие бюджеты или государственн</w:t>
      </w:r>
      <w:r>
        <w:rPr>
          <w:rFonts w:ascii="Times New Roman" w:hAnsi="Times New Roman" w:cs="Times New Roman"/>
          <w:sz w:val="28"/>
          <w:szCs w:val="28"/>
        </w:rPr>
        <w:t xml:space="preserve">ые внебюджетные фонды за последний отчетный период, размер которой превышает 25 процентов балансовой стоимости активов заявителя (по данным бухгалтерской отчетности за последний отчетный период). В случае наличия задолженности в размере, превышающем 25 про</w:t>
      </w:r>
      <w:r>
        <w:rPr>
          <w:rFonts w:ascii="Times New Roman" w:hAnsi="Times New Roman" w:cs="Times New Roman"/>
          <w:sz w:val="28"/>
          <w:szCs w:val="28"/>
        </w:rPr>
        <w:t xml:space="preserve">центов указанной стоимости, заявитель считается соответствующим установленному требованию, если он обжаловал наличие указанной задолженности в соответствии с законодательством Российской Федерации и решение по такой жалобе на день подачи заявки не принято;</w:t>
      </w:r>
      <w:r>
        <w:rPr>
          <w:rFonts w:ascii="Times New Roman" w:hAnsi="Times New Roman" w:cs="Times New Roman"/>
          <w:sz w:val="28"/>
          <w:szCs w:val="28"/>
        </w:rPr>
      </w:r>
      <w:r/>
    </w:p>
    <w:p>
      <w:pPr>
        <w:pStyle w:val="965"/>
        <w:ind w:firstLine="540"/>
        <w:jc w:val="both"/>
      </w:pPr>
      <w:r>
        <w:rPr>
          <w:rFonts w:ascii="Times New Roman" w:hAnsi="Times New Roman" w:cs="Times New Roman"/>
          <w:sz w:val="28"/>
          <w:szCs w:val="28"/>
        </w:rPr>
      </w:r>
      <w:bookmarkStart w:id="0" w:name="undefined"/>
      <w:r>
        <w:rPr>
          <w:rFonts w:ascii="Times New Roman" w:hAnsi="Times New Roman" w:cs="Times New Roman"/>
          <w:sz w:val="28"/>
          <w:szCs w:val="28"/>
        </w:rPr>
      </w:r>
      <w:bookmarkEnd w:id="0"/>
      <w:r>
        <w:rPr>
          <w:rFonts w:ascii="Times New Roman" w:hAnsi="Times New Roman" w:cs="Times New Roman"/>
          <w:sz w:val="28"/>
          <w:szCs w:val="28"/>
        </w:rPr>
        <w:t xml:space="preserve">г) заявитель не находится под контролем иностранного инв</w:t>
      </w:r>
      <w:r>
        <w:rPr>
          <w:rFonts w:ascii="Times New Roman" w:hAnsi="Times New Roman" w:cs="Times New Roman"/>
          <w:sz w:val="28"/>
          <w:szCs w:val="28"/>
        </w:rPr>
        <w:t xml:space="preserve">естора или группы лиц, в которую входит иностранный инвестор, за исключением случая, если контроль иностранного инвестора или группы лиц, в которую входит иностранный инвестор, в отношении такого заявителя установлен в порядке, предусмотренном Федеральным </w:t>
      </w:r>
      <w:hyperlink r:id="rId21" w:tooltip="consultantplus://offline/ref=1F0BBD39352E8C5FB8A9897FEFED1EA0A86E7A71983C4FF082C6432FC04F4082BDAD6213B0E0CC40E716AAC189C1K9G" w:history="1">
        <w:r>
          <w:rPr>
            <w:rFonts w:ascii="Times New Roman" w:hAnsi="Times New Roman" w:cs="Times New Roman"/>
            <w:color w:val="auto"/>
            <w:sz w:val="28"/>
            <w:szCs w:val="28"/>
          </w:rPr>
          <w:t xml:space="preserve">законом</w:t>
        </w:r>
        <w:r>
          <w:rPr>
            <w:rFonts w:ascii="Times New Roman" w:hAnsi="Times New Roman" w:cs="Times New Roman"/>
            <w:sz w:val="28"/>
            <w:szCs w:val="28"/>
          </w:rPr>
        </w:r>
        <w:r>
          <w:rPr>
            <w:rFonts w:ascii="Times New Roman" w:hAnsi="Times New Roman" w:cs="Times New Roman"/>
            <w:sz w:val="28"/>
            <w:szCs w:val="28"/>
          </w:rPr>
          <w:t xml:space="preserve"> от 29 апреля 2008 г. № 57-ФЗ</w:t>
        </w:r>
        <w:r>
          <w:rPr>
            <w:rFonts w:ascii="Times New Roman" w:hAnsi="Times New Roman" w:cs="Times New Roman"/>
            <w:color w:val="auto"/>
            <w:sz w:val="28"/>
            <w:szCs w:val="28"/>
          </w:rPr>
        </w:r>
      </w:hyperlink>
      <w:r>
        <w:rPr>
          <w:rFonts w:ascii="Times New Roman" w:hAnsi="Times New Roman" w:cs="Times New Roman"/>
          <w:sz w:val="28"/>
          <w:szCs w:val="28"/>
        </w:rPr>
        <w:br/>
      </w:r>
      <w:r>
        <w:rPr>
          <w:rFonts w:ascii="Times New Roman" w:hAnsi="Times New Roman" w:cs="Times New Roman"/>
          <w:sz w:val="28"/>
          <w:szCs w:val="28"/>
        </w:rPr>
        <w:t xml:space="preserve">«</w:t>
      </w:r>
      <w:r>
        <w:rPr>
          <w:rFonts w:ascii="Times New Roman" w:hAnsi="Times New Roman" w:cs="Times New Roman"/>
          <w:sz w:val="28"/>
          <w:szCs w:val="28"/>
        </w:rPr>
        <w:t xml:space="preserve">О порядке осуществления иностранных инвестиций в хозяйственные общества, имеющие стратегическое значение для обеспечения обороны страны и безопасности государства</w:t>
      </w:r>
      <w:r>
        <w:rPr>
          <w:rFonts w:ascii="Times New Roman" w:hAnsi="Times New Roman" w:cs="Times New Roman"/>
          <w:sz w:val="28"/>
          <w:szCs w:val="28"/>
        </w:rPr>
        <w:t xml:space="preserve">»</w:t>
      </w:r>
      <w:r>
        <w:rPr>
          <w:rFonts w:ascii="Times New Roman" w:hAnsi="Times New Roman" w:cs="Times New Roman"/>
          <w:sz w:val="28"/>
          <w:szCs w:val="28"/>
        </w:rPr>
        <w:t xml:space="preserve"> </w:t>
      </w:r>
      <w:r>
        <w:rPr>
          <w:rFonts w:ascii="Times New Roman" w:hAnsi="Times New Roman" w:cs="Times New Roman"/>
          <w:sz w:val="28"/>
          <w:szCs w:val="28"/>
        </w:rPr>
        <w:t xml:space="preserve">(далее – Закон о порядке осуществления иностранных инвестиций)</w:t>
      </w:r>
      <w:r>
        <w:rPr>
          <w:rFonts w:ascii="Times New Roman" w:hAnsi="Times New Roman" w:cs="Times New Roman"/>
          <w:sz w:val="28"/>
          <w:szCs w:val="28"/>
        </w:rPr>
        <w:t xml:space="preserve">, - для юридического лица;</w:t>
      </w:r>
      <w:r>
        <w:rPr>
          <w:rFonts w:ascii="Times New Roman" w:hAnsi="Times New Roman" w:cs="Times New Roman"/>
          <w:sz w:val="28"/>
          <w:szCs w:val="28"/>
        </w:rPr>
      </w:r>
      <w:r/>
    </w:p>
    <w:p>
      <w:pPr>
        <w:pStyle w:val="965"/>
        <w:ind w:firstLine="709"/>
        <w:jc w:val="both"/>
        <w:spacing w:line="360" w:lineRule="exact"/>
      </w:pPr>
      <w:r>
        <w:rPr>
          <w:rFonts w:ascii="Times New Roman" w:hAnsi="Times New Roman" w:cs="Times New Roman"/>
          <w:sz w:val="28"/>
          <w:szCs w:val="28"/>
        </w:rPr>
        <w:t xml:space="preserve">д)</w:t>
      </w:r>
      <w:r>
        <w:rPr>
          <w:rFonts w:ascii="Times New Roman" w:hAnsi="Times New Roman" w:cs="Times New Roman"/>
          <w:sz w:val="28"/>
          <w:szCs w:val="28"/>
        </w:rPr>
        <w:t xml:space="preserve"> </w:t>
      </w:r>
      <w:r>
        <w:rPr>
          <w:rFonts w:ascii="Times New Roman" w:hAnsi="Times New Roman" w:cs="Times New Roman"/>
          <w:sz w:val="28"/>
          <w:szCs w:val="28"/>
        </w:rPr>
        <w:t xml:space="preserve">заявитель отсутствует в реестре недобросовестных участников аукционов</w:t>
      </w:r>
      <w:r>
        <w:rPr>
          <w:rFonts w:ascii="Times New Roman" w:hAnsi="Times New Roman" w:cs="Times New Roman"/>
          <w:sz w:val="28"/>
          <w:szCs w:val="28"/>
        </w:rPr>
        <w:t xml:space="preserve"> </w:t>
      </w:r>
      <w:r>
        <w:rPr>
          <w:rFonts w:ascii="Times New Roman" w:hAnsi="Times New Roman" w:cs="Times New Roman"/>
          <w:sz w:val="28"/>
          <w:szCs w:val="28"/>
        </w:rPr>
        <w:t xml:space="preserve">по продаже права на заключение договоров о закреплении доли квоты добычи (вылова) водных биоресурсов, договоров о закреплении </w:t>
      </w:r>
      <w:r>
        <w:rPr>
          <w:rFonts w:ascii="Times New Roman" w:hAnsi="Times New Roman" w:cs="Times New Roman"/>
          <w:sz w:val="28"/>
          <w:szCs w:val="28"/>
        </w:rPr>
        <w:br/>
      </w:r>
      <w:r>
        <w:rPr>
          <w:rFonts w:ascii="Times New Roman" w:hAnsi="Times New Roman" w:cs="Times New Roman"/>
          <w:sz w:val="28"/>
          <w:szCs w:val="28"/>
        </w:rPr>
        <w:t xml:space="preserve">и предоставлении доли квоты добычи (вылова) крабов в инвестиционных целях, договоров пользования водными биоресурсами, договоров пользования рыболовным участком</w:t>
      </w:r>
      <w:r>
        <w:rPr>
          <w:rFonts w:ascii="Times New Roman" w:hAnsi="Times New Roman" w:cs="Times New Roman"/>
          <w:sz w:val="28"/>
          <w:szCs w:val="28"/>
        </w:rPr>
        <w:t xml:space="preserve">, предусмотренном статьей</w:t>
      </w:r>
      <w:r>
        <w:rPr>
          <w:rFonts w:ascii="Times New Roman" w:hAnsi="Times New Roman" w:cs="Times New Roman"/>
          <w:sz w:val="28"/>
          <w:szCs w:val="28"/>
        </w:rPr>
        <w:t xml:space="preserve">  </w:t>
      </w:r>
      <w:r>
        <w:rPr>
          <w:rFonts w:ascii="Times New Roman" w:hAnsi="Times New Roman" w:cs="Times New Roman"/>
          <w:sz w:val="28"/>
          <w:szCs w:val="28"/>
        </w:rPr>
        <w:t xml:space="preserve">38</w:t>
      </w:r>
      <w:r>
        <w:rPr>
          <w:rFonts w:ascii="Times New Roman" w:hAnsi="Times New Roman" w:cs="Times New Roman"/>
          <w:sz w:val="28"/>
          <w:szCs w:val="28"/>
          <w:vertAlign w:val="superscript"/>
        </w:rPr>
        <w:t xml:space="preserve">3 </w:t>
      </w:r>
      <w:r>
        <w:rPr>
          <w:rFonts w:ascii="Times New Roman" w:hAnsi="Times New Roman" w:cs="Times New Roman"/>
          <w:sz w:val="28"/>
          <w:szCs w:val="28"/>
        </w:rPr>
        <w:t xml:space="preserve">Федерального закона </w:t>
      </w:r>
      <w:r>
        <w:rPr>
          <w:rFonts w:ascii="Times New Roman" w:hAnsi="Times New Roman" w:cs="Times New Roman"/>
          <w:sz w:val="28"/>
          <w:szCs w:val="28"/>
        </w:rPr>
        <w:t xml:space="preserve">(далее </w:t>
      </w:r>
      <w:r>
        <w:rPr>
          <w:rFonts w:ascii="Times New Roman" w:hAnsi="Times New Roman" w:cs="Times New Roman"/>
          <w:sz w:val="28"/>
          <w:szCs w:val="28"/>
        </w:rPr>
        <w:t xml:space="preserve">-</w:t>
      </w:r>
      <w:r>
        <w:rPr>
          <w:rFonts w:ascii="Times New Roman" w:hAnsi="Times New Roman" w:cs="Times New Roman"/>
          <w:sz w:val="28"/>
          <w:szCs w:val="28"/>
        </w:rPr>
        <w:t xml:space="preserve"> </w:t>
      </w:r>
      <w:r>
        <w:rPr>
          <w:rFonts w:ascii="Times New Roman" w:hAnsi="Times New Roman" w:cs="Times New Roman"/>
          <w:sz w:val="28"/>
          <w:szCs w:val="28"/>
        </w:rPr>
        <w:t xml:space="preserve">р</w:t>
      </w:r>
      <w:r>
        <w:rPr>
          <w:rFonts w:ascii="Times New Roman" w:hAnsi="Times New Roman" w:cs="Times New Roman"/>
          <w:sz w:val="28"/>
          <w:szCs w:val="28"/>
        </w:rPr>
        <w:t xml:space="preserve">еестр недобросовестных участников аукционов).</w:t>
      </w:r>
      <w:r>
        <w:rPr>
          <w:rFonts w:ascii="Times New Roman" w:hAnsi="Times New Roman" w:cs="Times New Roman"/>
          <w:sz w:val="28"/>
          <w:szCs w:val="28"/>
        </w:rPr>
      </w:r>
      <w:r/>
    </w:p>
    <w:p>
      <w:pPr>
        <w:pStyle w:val="965"/>
        <w:ind w:firstLine="540"/>
        <w:jc w:val="both"/>
        <w:tabs>
          <w:tab w:val="left" w:pos="954" w:leader="none"/>
        </w:tabs>
      </w:pPr>
      <w:r>
        <w:rPr>
          <w:rFonts w:ascii="Times New Roman" w:hAnsi="Times New Roman" w:cs="Times New Roman"/>
          <w:strike w:val="0"/>
          <w:sz w:val="28"/>
          <w:szCs w:val="28"/>
        </w:rPr>
      </w:r>
      <w:r>
        <w:rPr>
          <w:rFonts w:ascii="Times New Roman" w:hAnsi="Times New Roman" w:cs="Times New Roman"/>
          <w:strike w:val="0"/>
          <w:sz w:val="28"/>
          <w:szCs w:val="28"/>
        </w:rPr>
      </w:r>
      <w:r/>
    </w:p>
    <w:p>
      <w:pPr>
        <w:pStyle w:val="956"/>
        <w:ind w:right="0" w:firstLine="0"/>
        <w:jc w:val="center"/>
        <w:widowControl/>
      </w:pPr>
      <w:r>
        <w:rPr>
          <w:rFonts w:ascii="Times New Roman" w:hAnsi="Times New Roman" w:cs="Times New Roman"/>
          <w:b/>
          <w:bCs/>
          <w:sz w:val="28"/>
          <w:szCs w:val="28"/>
        </w:rPr>
        <w:t xml:space="preserve">3. </w:t>
      </w:r>
      <w:r>
        <w:rPr>
          <w:rFonts w:ascii="Times New Roman" w:hAnsi="Times New Roman" w:cs="Times New Roman"/>
          <w:b/>
          <w:bCs/>
          <w:sz w:val="28"/>
          <w:szCs w:val="28"/>
        </w:rPr>
        <w:t xml:space="preserve">Порядок подачи заявок </w:t>
      </w:r>
      <w:r>
        <w:rPr>
          <w:rFonts w:ascii="Times New Roman" w:hAnsi="Times New Roman" w:cs="Times New Roman"/>
          <w:b/>
          <w:bCs/>
          <w:sz w:val="28"/>
          <w:szCs w:val="28"/>
        </w:rPr>
        <w:t xml:space="preserve">на участие в аукционе</w:t>
      </w:r>
      <w:r>
        <w:rPr>
          <w:rFonts w:ascii="Times New Roman" w:hAnsi="Times New Roman" w:cs="Times New Roman"/>
          <w:b/>
          <w:bCs/>
          <w:sz w:val="28"/>
          <w:szCs w:val="28"/>
        </w:rPr>
        <w:t xml:space="preserve"> </w:t>
      </w:r>
      <w:r>
        <w:rPr>
          <w:rFonts w:ascii="Times New Roman" w:hAnsi="Times New Roman" w:cs="Times New Roman"/>
          <w:b/>
          <w:bCs/>
          <w:sz w:val="28"/>
          <w:szCs w:val="28"/>
        </w:rPr>
        <w:t xml:space="preserve">и </w:t>
      </w:r>
      <w:r>
        <w:rPr>
          <w:rFonts w:ascii="Times New Roman" w:hAnsi="Times New Roman" w:cs="Times New Roman"/>
          <w:b/>
          <w:bCs/>
          <w:sz w:val="28"/>
          <w:szCs w:val="28"/>
        </w:rPr>
        <w:t xml:space="preserve">т</w:t>
      </w:r>
      <w:r>
        <w:rPr>
          <w:rFonts w:ascii="Times New Roman" w:hAnsi="Times New Roman" w:cs="Times New Roman"/>
          <w:b/>
          <w:bCs/>
          <w:sz w:val="28"/>
          <w:szCs w:val="28"/>
        </w:rPr>
        <w:t xml:space="preserve">ребования к содержанию и форме заявки </w:t>
      </w:r>
      <w:r>
        <w:rPr>
          <w:rFonts w:ascii="Times New Roman" w:hAnsi="Times New Roman" w:cs="Times New Roman"/>
          <w:b/>
          <w:bCs/>
          <w:sz w:val="28"/>
          <w:szCs w:val="28"/>
        </w:rPr>
      </w:r>
      <w:r/>
    </w:p>
    <w:p>
      <w:pPr>
        <w:pStyle w:val="956"/>
        <w:ind w:right="0" w:firstLine="0"/>
        <w:jc w:val="center"/>
        <w:widowControl/>
      </w:pPr>
      <w:r>
        <w:rPr>
          <w:rFonts w:ascii="Times New Roman" w:hAnsi="Times New Roman" w:cs="Times New Roman"/>
          <w:b/>
          <w:bCs/>
          <w:sz w:val="28"/>
          <w:szCs w:val="28"/>
        </w:rPr>
      </w:r>
      <w:r>
        <w:rPr>
          <w:rFonts w:ascii="Times New Roman" w:hAnsi="Times New Roman" w:cs="Times New Roman"/>
          <w:b/>
          <w:bCs/>
          <w:sz w:val="28"/>
          <w:szCs w:val="28"/>
        </w:rPr>
      </w:r>
      <w:r/>
    </w:p>
    <w:p>
      <w:pPr>
        <w:pStyle w:val="965"/>
        <w:ind w:firstLine="540"/>
        <w:jc w:val="both"/>
      </w:pPr>
      <w:r>
        <w:rPr>
          <w:rFonts w:ascii="Times New Roman" w:hAnsi="Times New Roman" w:cs="Times New Roman"/>
          <w:sz w:val="28"/>
          <w:szCs w:val="28"/>
        </w:rPr>
        <w:t xml:space="preserve">3.1</w:t>
      </w:r>
      <w:r>
        <w:rPr>
          <w:rFonts w:ascii="Times New Roman" w:hAnsi="Times New Roman" w:cs="Times New Roman"/>
          <w:sz w:val="28"/>
          <w:szCs w:val="28"/>
        </w:rPr>
        <w:t xml:space="preserve">. Для участия в аукционе заявитель </w:t>
      </w:r>
      <w:r>
        <w:rPr>
          <w:rFonts w:ascii="Times New Roman" w:hAnsi="Times New Roman" w:cs="Times New Roman"/>
          <w:sz w:val="28"/>
          <w:szCs w:val="28"/>
        </w:rPr>
        <w:t xml:space="preserve">подает заявку на участие в аукционе оператору электронной площадки в сроки, указанные в извещении </w:t>
        <w:br/>
        <w:t xml:space="preserve">о проведении аукциона, и обеспечивает наличие на </w:t>
      </w:r>
      <w:r>
        <w:rPr>
          <w:rFonts w:ascii="Times New Roman" w:hAnsi="Times New Roman" w:cs="Times New Roman"/>
          <w:sz w:val="28"/>
          <w:szCs w:val="28"/>
        </w:rPr>
        <w:t xml:space="preserve">банковском счете, открытом этим заявителем в б</w:t>
      </w:r>
      <w:r>
        <w:rPr>
          <w:rFonts w:ascii="Times New Roman" w:hAnsi="Times New Roman" w:cs="Times New Roman"/>
          <w:sz w:val="28"/>
          <w:szCs w:val="28"/>
        </w:rPr>
        <w:t xml:space="preserve">анке (далее - специальный счет)</w:t>
      </w:r>
      <w:r>
        <w:rPr>
          <w:rFonts w:ascii="Times New Roman" w:hAnsi="Times New Roman" w:cs="Times New Roman"/>
          <w:sz w:val="28"/>
          <w:szCs w:val="28"/>
        </w:rPr>
        <w:t xml:space="preserve">, включенном </w:t>
        <w:br/>
        <w:t xml:space="preserve">в перечень, установленный в соответствии с </w:t>
      </w:r>
      <w:r>
        <w:rPr>
          <w:rFonts w:ascii="Times New Roman" w:hAnsi="Times New Roman" w:cs="Times New Roman"/>
          <w:sz w:val="28"/>
          <w:szCs w:val="28"/>
        </w:rPr>
        <w:t xml:space="preserve">Федеральн</w:t>
      </w:r>
      <w:r>
        <w:rPr>
          <w:rFonts w:ascii="Times New Roman" w:hAnsi="Times New Roman" w:cs="Times New Roman"/>
          <w:sz w:val="28"/>
          <w:szCs w:val="28"/>
        </w:rPr>
        <w:t xml:space="preserve">ым</w:t>
      </w:r>
      <w:r>
        <w:rPr>
          <w:rFonts w:ascii="Times New Roman" w:hAnsi="Times New Roman" w:cs="Times New Roman"/>
          <w:sz w:val="28"/>
          <w:szCs w:val="28"/>
        </w:rPr>
        <w:t xml:space="preserve"> закон</w:t>
      </w:r>
      <w:r>
        <w:rPr>
          <w:rFonts w:ascii="Times New Roman" w:hAnsi="Times New Roman" w:cs="Times New Roman"/>
          <w:sz w:val="28"/>
          <w:szCs w:val="28"/>
        </w:rPr>
        <w:t xml:space="preserve">ом</w:t>
      </w:r>
      <w:r>
        <w:rPr>
          <w:rFonts w:ascii="Times New Roman" w:hAnsi="Times New Roman" w:cs="Times New Roman"/>
          <w:sz w:val="28"/>
          <w:szCs w:val="28"/>
        </w:rPr>
        <w:t xml:space="preserve"> </w:t>
        <w:br/>
        <w:t xml:space="preserve">от 5 апреля 2013 г.</w:t>
      </w:r>
      <w:r>
        <w:rPr>
          <w:rFonts w:ascii="Times New Roman" w:hAnsi="Times New Roman" w:cs="Times New Roman"/>
          <w:sz w:val="28"/>
          <w:szCs w:val="28"/>
        </w:rPr>
        <w:t xml:space="preserve"> </w:t>
      </w:r>
      <w:r>
        <w:rPr>
          <w:rFonts w:ascii="Times New Roman" w:hAnsi="Times New Roman" w:cs="Times New Roman"/>
          <w:sz w:val="28"/>
          <w:szCs w:val="28"/>
        </w:rPr>
        <w:t xml:space="preserve">№ 44-ФЗ «О контрактной системе в сфере закупок товаров, работ, услуг для обеспечения государственных и муниципальных нужд»</w:t>
      </w:r>
      <w:r>
        <w:rPr>
          <w:rFonts w:ascii="Times New Roman" w:hAnsi="Times New Roman" w:cs="Times New Roman"/>
          <w:sz w:val="28"/>
          <w:szCs w:val="28"/>
        </w:rPr>
        <w:t xml:space="preserve"> </w:t>
        <w:br/>
        <w:t xml:space="preserve">(далее – банк, Закон о контрактной системе)</w:t>
      </w:r>
      <w:r>
        <w:rPr>
          <w:rFonts w:ascii="Times New Roman" w:hAnsi="Times New Roman" w:cs="Times New Roman"/>
          <w:sz w:val="28"/>
          <w:szCs w:val="28"/>
        </w:rPr>
        <w:t xml:space="preserve"> денежных средств в размере задатка, указанном организатором аукциона в извещении о проведении аукциона.</w:t>
      </w:r>
      <w:r>
        <w:rPr>
          <w:rFonts w:ascii="Times New Roman" w:hAnsi="Times New Roman" w:cs="Times New Roman"/>
          <w:sz w:val="28"/>
          <w:szCs w:val="28"/>
        </w:rPr>
      </w:r>
      <w:r/>
    </w:p>
    <w:p>
      <w:pPr>
        <w:pStyle w:val="965"/>
        <w:ind w:firstLine="540"/>
        <w:jc w:val="both"/>
      </w:pPr>
      <w:r>
        <w:rPr>
          <w:rFonts w:ascii="Times New Roman" w:hAnsi="Times New Roman" w:cs="Times New Roman"/>
          <w:sz w:val="28"/>
          <w:szCs w:val="28"/>
        </w:rPr>
      </w:r>
      <w:bookmarkStart w:id="0" w:name="undefined"/>
      <w:r>
        <w:rPr>
          <w:rFonts w:ascii="Times New Roman" w:hAnsi="Times New Roman" w:cs="Times New Roman"/>
          <w:sz w:val="28"/>
          <w:szCs w:val="28"/>
        </w:rPr>
      </w:r>
      <w:bookmarkEnd w:id="0"/>
      <w:r>
        <w:rPr>
          <w:rFonts w:ascii="Times New Roman" w:hAnsi="Times New Roman" w:cs="Times New Roman"/>
          <w:sz w:val="28"/>
          <w:szCs w:val="28"/>
        </w:rPr>
        <w:t xml:space="preserve">В заявке на участие в аукционе указываются следующие сведения:</w:t>
      </w:r>
      <w:r>
        <w:rPr>
          <w:rFonts w:ascii="Times New Roman" w:hAnsi="Times New Roman" w:cs="Times New Roman"/>
          <w:sz w:val="28"/>
          <w:szCs w:val="28"/>
        </w:rPr>
      </w:r>
      <w:r/>
    </w:p>
    <w:p>
      <w:pPr>
        <w:pStyle w:val="965"/>
        <w:ind w:firstLine="540"/>
        <w:jc w:val="both"/>
      </w:pPr>
      <w:r>
        <w:rPr>
          <w:rFonts w:ascii="Times New Roman" w:hAnsi="Times New Roman" w:cs="Times New Roman"/>
          <w:sz w:val="28"/>
          <w:szCs w:val="28"/>
        </w:rPr>
        <w:t xml:space="preserve">а) сведения о заявителе:</w:t>
      </w:r>
      <w:r>
        <w:rPr>
          <w:rFonts w:ascii="Times New Roman" w:hAnsi="Times New Roman" w:cs="Times New Roman"/>
          <w:sz w:val="28"/>
          <w:szCs w:val="28"/>
        </w:rPr>
      </w:r>
      <w:r/>
    </w:p>
    <w:p>
      <w:pPr>
        <w:pStyle w:val="965"/>
        <w:ind w:firstLine="540"/>
        <w:jc w:val="both"/>
      </w:pPr>
      <w:r>
        <w:rPr>
          <w:rFonts w:ascii="Times New Roman" w:hAnsi="Times New Roman" w:cs="Times New Roman"/>
          <w:sz w:val="28"/>
          <w:szCs w:val="28"/>
        </w:rPr>
        <w:t xml:space="preserve">полное (сокращенное (при наличии) наименование, основной государственный регистрационный номер, место нахождения, телефон, адрес электронной почты, идентификационный номер налогоплательщика - для юридического лица;</w:t>
      </w:r>
      <w:r>
        <w:rPr>
          <w:rFonts w:ascii="Times New Roman" w:hAnsi="Times New Roman" w:cs="Times New Roman"/>
          <w:sz w:val="28"/>
          <w:szCs w:val="28"/>
        </w:rPr>
      </w:r>
      <w:r/>
    </w:p>
    <w:p>
      <w:pPr>
        <w:pStyle w:val="965"/>
        <w:ind w:firstLine="540"/>
        <w:jc w:val="both"/>
      </w:pPr>
      <w:r>
        <w:rPr>
          <w:rFonts w:ascii="Times New Roman" w:hAnsi="Times New Roman" w:cs="Times New Roman"/>
          <w:sz w:val="28"/>
          <w:szCs w:val="28"/>
        </w:rPr>
        <w:t xml:space="preserve">фамилия, имя, отчество (при наличии), свед</w:t>
      </w:r>
      <w:r>
        <w:rPr>
          <w:rFonts w:ascii="Times New Roman" w:hAnsi="Times New Roman" w:cs="Times New Roman"/>
          <w:sz w:val="28"/>
          <w:szCs w:val="28"/>
        </w:rPr>
        <w:t xml:space="preserve">ения о месте жительства, телефон, адрес электронной почты, идентификационный номер налогоплательщика - для индивидуального предпринимателя;</w:t>
      </w:r>
      <w:r>
        <w:rPr>
          <w:rFonts w:ascii="Times New Roman" w:hAnsi="Times New Roman" w:cs="Times New Roman"/>
          <w:sz w:val="28"/>
          <w:szCs w:val="28"/>
          <w:highlight w:val="none"/>
        </w:rPr>
      </w:r>
      <w:r/>
    </w:p>
    <w:p>
      <w:pPr>
        <w:pStyle w:val="965"/>
        <w:ind w:firstLine="540"/>
        <w:jc w:val="both"/>
      </w:pPr>
      <w:r>
        <w:rPr>
          <w:rFonts w:ascii="Times New Roman" w:hAnsi="Times New Roman" w:cs="Times New Roman"/>
          <w:sz w:val="28"/>
          <w:szCs w:val="28"/>
          <w:highlight w:val="none"/>
        </w:rPr>
        <w:t xml:space="preserve">б) сведения о соответствии заявителя требованиям, указанным в подпунктах «а»-«в» пункта 2.1. Документации об аукционе.</w:t>
      </w:r>
      <w:r>
        <w:rPr>
          <w:rFonts w:ascii="Times New Roman" w:hAnsi="Times New Roman" w:cs="Times New Roman"/>
          <w:sz w:val="28"/>
          <w:szCs w:val="28"/>
        </w:rPr>
      </w:r>
      <w:r/>
    </w:p>
    <w:p>
      <w:pPr>
        <w:pStyle w:val="965"/>
        <w:ind w:firstLine="540"/>
        <w:jc w:val="both"/>
      </w:pPr>
      <w:r>
        <w:rPr>
          <w:rFonts w:ascii="Times New Roman" w:hAnsi="Times New Roman" w:cs="Times New Roman"/>
          <w:sz w:val="28"/>
          <w:szCs w:val="28"/>
        </w:rPr>
        <w:t xml:space="preserve">в) сведения о нахождении (</w:t>
      </w:r>
      <w:r>
        <w:rPr>
          <w:rFonts w:ascii="Times New Roman" w:hAnsi="Times New Roman" w:cs="Times New Roman"/>
          <w:sz w:val="28"/>
          <w:szCs w:val="28"/>
        </w:rPr>
        <w:t xml:space="preserve">ненахождении)</w:t>
      </w:r>
      <w:r>
        <w:rPr>
          <w:rFonts w:ascii="Times New Roman" w:hAnsi="Times New Roman" w:cs="Times New Roman"/>
          <w:sz w:val="28"/>
          <w:szCs w:val="28"/>
        </w:rPr>
        <w:t xml:space="preserve"> заявителя под контролем иностранного инвестора или группы лиц, в которую входит иностранный инвестор, - для юридического лица;</w:t>
      </w:r>
      <w:r>
        <w:rPr>
          <w:rFonts w:ascii="Times New Roman" w:hAnsi="Times New Roman" w:cs="Times New Roman"/>
          <w:sz w:val="28"/>
          <w:szCs w:val="28"/>
        </w:rPr>
      </w:r>
      <w:r/>
    </w:p>
    <w:p>
      <w:pPr>
        <w:pStyle w:val="965"/>
        <w:ind w:firstLine="540"/>
        <w:jc w:val="both"/>
      </w:pPr>
      <w:r>
        <w:rPr>
          <w:rFonts w:ascii="Times New Roman" w:hAnsi="Times New Roman" w:cs="Times New Roman"/>
          <w:sz w:val="28"/>
          <w:szCs w:val="28"/>
        </w:rPr>
        <w:t xml:space="preserve">г) сведения о решении Федеральной антимонопольной службы, оформленном на основании решения Правительственной комиссии по контролю за осуществлением инос</w:t>
      </w:r>
      <w:r>
        <w:rPr>
          <w:rFonts w:ascii="Times New Roman" w:hAnsi="Times New Roman" w:cs="Times New Roman"/>
          <w:sz w:val="28"/>
          <w:szCs w:val="28"/>
        </w:rPr>
        <w:t xml:space="preserve">транных инвестиций в Российской Федер</w:t>
      </w:r>
      <w:r>
        <w:rPr>
          <w:rFonts w:ascii="Times New Roman" w:hAnsi="Times New Roman" w:cs="Times New Roman"/>
          <w:sz w:val="28"/>
          <w:szCs w:val="28"/>
        </w:rPr>
        <w:t xml:space="preserve">ации (далее – Правительственная комиссия), - для юридического лица в случае, если контроль иностранного инвестора или группы лиц, в которую входит иностранный инвестор, в отношении такого юридического лица (заявителя) установлен в порядке, предусмотренном </w:t>
      </w:r>
      <w:r>
        <w:rPr>
          <w:rFonts w:ascii="Times New Roman" w:hAnsi="Times New Roman" w:cs="Times New Roman"/>
          <w:sz w:val="28"/>
          <w:szCs w:val="28"/>
        </w:rPr>
        <w:t xml:space="preserve">Закон</w:t>
      </w:r>
      <w:r>
        <w:rPr>
          <w:rFonts w:ascii="Times New Roman" w:hAnsi="Times New Roman" w:cs="Times New Roman"/>
          <w:sz w:val="28"/>
          <w:szCs w:val="28"/>
        </w:rPr>
        <w:t xml:space="preserve">ом</w:t>
      </w:r>
      <w:r>
        <w:rPr>
          <w:rFonts w:ascii="Times New Roman" w:hAnsi="Times New Roman" w:cs="Times New Roman"/>
          <w:sz w:val="28"/>
          <w:szCs w:val="28"/>
        </w:rPr>
        <w:t xml:space="preserve"> о порядке осуществления иностранных инвестиций</w:t>
      </w:r>
      <w:r>
        <w:rPr>
          <w:rFonts w:ascii="Times New Roman" w:hAnsi="Times New Roman" w:cs="Times New Roman"/>
          <w:sz w:val="28"/>
          <w:szCs w:val="28"/>
        </w:rPr>
        <w:t xml:space="preserve">;</w:t>
      </w:r>
      <w:r>
        <w:rPr>
          <w:rFonts w:ascii="Times New Roman" w:hAnsi="Times New Roman" w:cs="Times New Roman"/>
          <w:sz w:val="28"/>
          <w:szCs w:val="28"/>
          <w:highlight w:val="none"/>
        </w:rPr>
      </w:r>
      <w:r/>
    </w:p>
    <w:p>
      <w:pPr>
        <w:pStyle w:val="965"/>
        <w:ind w:left="0" w:right="0" w:firstLine="567"/>
        <w:jc w:val="both"/>
        <w:spacing w:line="360" w:lineRule="exact"/>
      </w:pPr>
      <w:r>
        <w:rPr>
          <w:rFonts w:ascii="Times New Roman" w:hAnsi="Times New Roman" w:cs="Times New Roman"/>
          <w:sz w:val="28"/>
          <w:szCs w:val="28"/>
        </w:rPr>
        <w:t xml:space="preserve">д)</w:t>
      </w:r>
      <w:r>
        <w:rPr>
          <w:rFonts w:ascii="Times New Roman" w:hAnsi="Times New Roman" w:cs="Times New Roman"/>
          <w:sz w:val="28"/>
          <w:szCs w:val="28"/>
        </w:rPr>
        <w:t xml:space="preserve"> сведения о нахождении (ненахождении) заявителя </w:t>
      </w:r>
      <w:r>
        <w:rPr>
          <w:rFonts w:ascii="Times New Roman" w:hAnsi="Times New Roman" w:cs="Times New Roman"/>
          <w:sz w:val="28"/>
          <w:szCs w:val="28"/>
        </w:rPr>
        <w:t xml:space="preserve">в реестре недобросовестных участников аукционов</w:t>
      </w:r>
      <w:r>
        <w:rPr>
          <w:rFonts w:ascii="Times New Roman" w:hAnsi="Times New Roman" w:cs="Times New Roman"/>
          <w:sz w:val="28"/>
          <w:szCs w:val="28"/>
        </w:rPr>
        <w:t xml:space="preserve">.</w:t>
      </w:r>
      <w:r>
        <w:rPr>
          <w:rFonts w:ascii="Times New Roman" w:hAnsi="Times New Roman" w:cs="Times New Roman"/>
          <w:sz w:val="28"/>
          <w:szCs w:val="28"/>
          <w:highlight w:val="none"/>
        </w:rPr>
      </w:r>
      <w:r/>
    </w:p>
    <w:p>
      <w:pPr>
        <w:pStyle w:val="965"/>
        <w:ind w:firstLine="540"/>
        <w:jc w:val="both"/>
        <w:spacing w:before="0" w:beforeAutospacing="0"/>
      </w:pPr>
      <w:r>
        <w:rPr>
          <w:rFonts w:ascii="Times New Roman" w:hAnsi="Times New Roman" w:cs="Times New Roman"/>
          <w:sz w:val="28"/>
          <w:szCs w:val="28"/>
        </w:rPr>
        <w:t xml:space="preserve">3.2. Информация и сведения, предусмотренные </w:t>
      </w:r>
      <w:hyperlink w:tooltip="#P190" w:anchor="P190" w:history="1">
        <w:r>
          <w:rPr>
            <w:rFonts w:ascii="Times New Roman" w:hAnsi="Times New Roman" w:cs="Times New Roman"/>
            <w:color w:val="auto"/>
            <w:sz w:val="28"/>
            <w:szCs w:val="28"/>
          </w:rPr>
          <w:t xml:space="preserve">подпунктами «а</w:t>
        </w:r>
      </w:hyperlink>
      <w:r>
        <w:rPr>
          <w:rFonts w:ascii="Times New Roman" w:hAnsi="Times New Roman" w:cs="Times New Roman"/>
          <w:color w:val="auto"/>
          <w:sz w:val="28"/>
          <w:szCs w:val="28"/>
        </w:rPr>
        <w:t xml:space="preserve">» и «</w:t>
      </w:r>
      <w:hyperlink w:tooltip="#P196" w:anchor="P196" w:history="1">
        <w:r>
          <w:rPr>
            <w:rFonts w:ascii="Times New Roman" w:hAnsi="Times New Roman" w:cs="Times New Roman"/>
            <w:color w:val="auto"/>
            <w:sz w:val="28"/>
            <w:szCs w:val="28"/>
          </w:rPr>
          <w:t xml:space="preserve">д» пункта 3.</w:t>
        </w:r>
      </w:hyperlink>
      <w:r>
        <w:rPr>
          <w:rFonts w:ascii="Times New Roman" w:hAnsi="Times New Roman" w:cs="Times New Roman"/>
          <w:color w:val="auto"/>
          <w:sz w:val="28"/>
          <w:szCs w:val="28"/>
        </w:rPr>
        <w:t xml:space="preserve">1. Документации об аукционе, включаются в заявку на участие в аукционе посредством информационного взаимодействия оператора электронной площадки с официальным сайтом.</w:t>
      </w:r>
      <w:r>
        <w:rPr>
          <w:rFonts w:ascii="Times New Roman" w:hAnsi="Times New Roman" w:cs="Times New Roman"/>
          <w:color w:val="auto"/>
          <w:sz w:val="28"/>
          <w:szCs w:val="28"/>
        </w:rPr>
      </w:r>
      <w:r/>
    </w:p>
    <w:p>
      <w:pPr>
        <w:pStyle w:val="965"/>
        <w:ind w:firstLine="540"/>
        <w:jc w:val="both"/>
        <w:spacing w:before="0" w:beforeAutospacing="0"/>
      </w:pPr>
      <w:r>
        <w:rPr>
          <w:rFonts w:ascii="Times New Roman" w:hAnsi="Times New Roman" w:cs="Times New Roman"/>
          <w:color w:val="auto"/>
          <w:sz w:val="28"/>
          <w:szCs w:val="28"/>
        </w:rPr>
        <w:t xml:space="preserve">Информация и сведения, предусмотренные </w:t>
      </w:r>
      <w:hyperlink w:tooltip="#P193" w:anchor="P193" w:history="1">
        <w:r>
          <w:rPr>
            <w:rFonts w:ascii="Times New Roman" w:hAnsi="Times New Roman" w:cs="Times New Roman"/>
            <w:color w:val="auto"/>
            <w:sz w:val="28"/>
            <w:szCs w:val="28"/>
          </w:rPr>
          <w:t xml:space="preserve">подпунктами «б</w:t>
        </w:r>
      </w:hyperlink>
      <w:r>
        <w:rPr>
          <w:rFonts w:ascii="Times New Roman" w:hAnsi="Times New Roman" w:cs="Times New Roman"/>
          <w:color w:val="auto"/>
          <w:sz w:val="28"/>
          <w:szCs w:val="28"/>
        </w:rPr>
        <w:t xml:space="preserve">» - «</w:t>
      </w:r>
      <w:hyperlink w:tooltip="#P195" w:anchor="P195" w:history="1">
        <w:r>
          <w:rPr>
            <w:rFonts w:ascii="Times New Roman" w:hAnsi="Times New Roman" w:cs="Times New Roman"/>
            <w:color w:val="auto"/>
            <w:sz w:val="28"/>
            <w:szCs w:val="28"/>
          </w:rPr>
          <w:t xml:space="preserve">г» пункта 3.</w:t>
        </w:r>
      </w:hyperlink>
      <w:r>
        <w:rPr>
          <w:rFonts w:ascii="Times New Roman" w:hAnsi="Times New Roman" w:cs="Times New Roman"/>
          <w:color w:val="auto"/>
          <w:sz w:val="28"/>
          <w:szCs w:val="28"/>
        </w:rPr>
        <w:t xml:space="preserve">1. Документации об аукционе, включаются заявителем в заявку на участие в аукционе самостоятельно при подаче заявки оператору электронной площадки.</w:t>
      </w:r>
      <w:r>
        <w:rPr>
          <w:rFonts w:ascii="Times New Roman" w:hAnsi="Times New Roman" w:cs="Times New Roman"/>
          <w:color w:val="auto"/>
          <w:sz w:val="28"/>
          <w:szCs w:val="28"/>
        </w:rPr>
      </w:r>
      <w:r/>
    </w:p>
    <w:p>
      <w:pPr>
        <w:pStyle w:val="965"/>
        <w:ind w:firstLine="540"/>
        <w:jc w:val="both"/>
        <w:spacing w:before="0" w:beforeAutospacing="0"/>
      </w:pPr>
      <w:r>
        <w:rPr>
          <w:rFonts w:ascii="Times New Roman" w:hAnsi="Times New Roman" w:cs="Times New Roman"/>
          <w:color w:val="auto"/>
          <w:sz w:val="28"/>
          <w:szCs w:val="28"/>
        </w:rPr>
        <w:t xml:space="preserve">В случае внесения изменений в информацию и (или) сведения, которые предусмотрены </w:t>
      </w:r>
      <w:hyperlink w:tooltip="#P190" w:anchor="P190" w:history="1">
        <w:r>
          <w:rPr>
            <w:rFonts w:ascii="Times New Roman" w:hAnsi="Times New Roman" w:cs="Times New Roman"/>
            <w:color w:val="auto"/>
            <w:sz w:val="28"/>
            <w:szCs w:val="28"/>
          </w:rPr>
          <w:t xml:space="preserve">подпунктами </w:t>
        </w:r>
        <w:r>
          <w:rPr>
            <w:rFonts w:ascii="Times New Roman" w:hAnsi="Times New Roman" w:cs="Times New Roman"/>
            <w:sz w:val="28"/>
            <w:szCs w:val="28"/>
          </w:rPr>
          <w:t xml:space="preserve">«а</w:t>
        </w:r>
        <w:r>
          <w:rPr>
            <w:rFonts w:ascii="Times New Roman" w:hAnsi="Times New Roman" w:cs="Times New Roman"/>
            <w:color w:val="auto"/>
            <w:sz w:val="28"/>
            <w:szCs w:val="28"/>
          </w:rPr>
          <w:t xml:space="preserve">» и «</w:t>
        </w:r>
        <w:r>
          <w:rPr>
            <w:rFonts w:ascii="Times New Roman" w:hAnsi="Times New Roman" w:cs="Times New Roman"/>
            <w:color w:val="auto"/>
            <w:sz w:val="28"/>
            <w:szCs w:val="28"/>
          </w:rPr>
          <w:t xml:space="preserve">д» пункта 3.</w:t>
        </w:r>
        <w:r>
          <w:rPr>
            <w:rFonts w:ascii="Times New Roman" w:hAnsi="Times New Roman" w:cs="Times New Roman"/>
            <w:color w:val="auto"/>
            <w:sz w:val="28"/>
            <w:szCs w:val="28"/>
          </w:rPr>
          <w:t xml:space="preserve">1. Документации об аукционе</w:t>
        </w:r>
        <w:r>
          <w:rPr>
            <w:rFonts w:ascii="Times New Roman" w:hAnsi="Times New Roman" w:cs="Times New Roman"/>
            <w:color w:val="auto"/>
            <w:sz w:val="28"/>
            <w:szCs w:val="28"/>
          </w:rPr>
        </w:r>
      </w:hyperlink>
      <w:r>
        <w:rPr>
          <w:rFonts w:ascii="Times New Roman" w:hAnsi="Times New Roman" w:cs="Times New Roman"/>
          <w:color w:val="auto"/>
          <w:sz w:val="28"/>
          <w:szCs w:val="28"/>
        </w:rPr>
        <w:t xml:space="preserve">, такие изменения не применяются к поданным до внесения таких изменений заявкам на участие в аукционе.</w:t>
      </w:r>
      <w:r>
        <w:rPr>
          <w:rFonts w:ascii="Times New Roman" w:hAnsi="Times New Roman" w:cs="Times New Roman"/>
          <w:color w:val="auto"/>
          <w:sz w:val="28"/>
          <w:szCs w:val="28"/>
        </w:rPr>
      </w:r>
      <w:r/>
    </w:p>
    <w:p>
      <w:pPr>
        <w:pStyle w:val="965"/>
        <w:ind w:firstLine="540"/>
        <w:jc w:val="both"/>
        <w:spacing w:before="0" w:beforeAutospacing="0"/>
        <w:tabs>
          <w:tab w:val="center" w:pos="4818" w:leader="none"/>
        </w:tabs>
      </w:pPr>
      <w:r>
        <w:rPr>
          <w:rFonts w:ascii="Times New Roman" w:hAnsi="Times New Roman" w:cs="Times New Roman"/>
          <w:color w:val="auto"/>
          <w:sz w:val="28"/>
          <w:szCs w:val="28"/>
        </w:rPr>
        <w:t xml:space="preserve">При необходимости внесения изменений в информацию и (или) сведения, которые содержатся в заявке на участие в аукционе, заявителю необходимо осуществить отзыв такой заявки и подать новую заявку в соответствии с </w:t>
      </w:r>
      <w:hyperlink w:tooltip="#P215" w:anchor="P215" w:history="1">
        <w:r>
          <w:rPr>
            <w:rFonts w:ascii="Times New Roman" w:hAnsi="Times New Roman" w:cs="Times New Roman"/>
            <w:color w:val="auto"/>
            <w:sz w:val="28"/>
            <w:szCs w:val="28"/>
          </w:rPr>
          <w:t xml:space="preserve">пунктом </w:t>
        </w:r>
      </w:hyperlink>
      <w:r>
        <w:rPr>
          <w:rFonts w:ascii="Times New Roman" w:hAnsi="Times New Roman" w:cs="Times New Roman"/>
          <w:color w:val="auto"/>
          <w:sz w:val="28"/>
          <w:szCs w:val="28"/>
        </w:rPr>
        <w:t xml:space="preserve">6.1. Документации об аукционе.</w:t>
      </w:r>
      <w:r>
        <w:rPr>
          <w:rFonts w:ascii="Times New Roman" w:hAnsi="Times New Roman" w:cs="Times New Roman"/>
          <w:color w:val="auto"/>
          <w:sz w:val="28"/>
          <w:szCs w:val="28"/>
        </w:rPr>
        <w:tab/>
      </w:r>
      <w:r>
        <w:rPr>
          <w:rFonts w:ascii="Times New Roman" w:hAnsi="Times New Roman" w:cs="Times New Roman"/>
          <w:color w:val="auto"/>
          <w:sz w:val="28"/>
          <w:szCs w:val="28"/>
          <w:highlight w:val="none"/>
        </w:rPr>
      </w:r>
      <w:r/>
    </w:p>
    <w:p>
      <w:pPr>
        <w:pStyle w:val="965"/>
        <w:ind w:firstLine="540"/>
        <w:jc w:val="both"/>
      </w:pPr>
      <w:r>
        <w:rPr>
          <w:rFonts w:ascii="Times New Roman" w:hAnsi="Times New Roman" w:cs="Times New Roman"/>
          <w:sz w:val="28"/>
          <w:szCs w:val="28"/>
        </w:rPr>
      </w:r>
      <w:bookmarkStart w:id="0" w:name="undefined"/>
      <w:r>
        <w:rPr>
          <w:rFonts w:ascii="Times New Roman" w:hAnsi="Times New Roman" w:cs="Times New Roman"/>
          <w:sz w:val="28"/>
          <w:szCs w:val="28"/>
        </w:rPr>
      </w:r>
      <w:bookmarkEnd w:id="0"/>
      <w:r>
        <w:rPr>
          <w:rFonts w:ascii="Times New Roman" w:hAnsi="Times New Roman" w:cs="Times New Roman"/>
          <w:sz w:val="28"/>
          <w:szCs w:val="28"/>
        </w:rPr>
        <w:t xml:space="preserve">3.</w:t>
      </w:r>
      <w:r>
        <w:rPr>
          <w:rFonts w:ascii="Times New Roman" w:hAnsi="Times New Roman" w:cs="Times New Roman"/>
          <w:sz w:val="28"/>
          <w:szCs w:val="28"/>
        </w:rPr>
        <w:t xml:space="preserve">3. К заявке на участие в аукционе прилагается </w:t>
      </w:r>
      <w:r>
        <w:rPr>
          <w:rFonts w:ascii="Times New Roman" w:hAnsi="Times New Roman" w:cs="Times New Roman"/>
          <w:sz w:val="28"/>
          <w:szCs w:val="28"/>
        </w:rPr>
        <w:t xml:space="preserve">документ, подтверждающий полномочия лица на осуществление действий от имени заявителя (в случае необходимости).</w:t>
      </w:r>
      <w:r>
        <w:rPr>
          <w:rFonts w:ascii="Times New Roman" w:hAnsi="Times New Roman" w:cs="Times New Roman"/>
          <w:sz w:val="28"/>
          <w:szCs w:val="28"/>
        </w:rPr>
      </w:r>
      <w:r/>
    </w:p>
    <w:p>
      <w:pPr>
        <w:pStyle w:val="965"/>
        <w:ind w:firstLine="540"/>
        <w:jc w:val="both"/>
        <w:spacing w:before="0" w:beforeAutospacing="0"/>
      </w:pPr>
      <w:r>
        <w:rPr>
          <w:rFonts w:ascii="Times New Roman" w:hAnsi="Times New Roman" w:cs="Times New Roman"/>
          <w:sz w:val="28"/>
          <w:szCs w:val="28"/>
        </w:rPr>
        <w:t xml:space="preserve">3.4</w:t>
      </w:r>
      <w:r>
        <w:rPr>
          <w:rFonts w:ascii="Times New Roman" w:hAnsi="Times New Roman" w:cs="Times New Roman"/>
          <w:sz w:val="28"/>
          <w:szCs w:val="28"/>
        </w:rPr>
        <w:t xml:space="preserve">. Заявка на участие в аукционе, документы и сведения, которые представлены заявителем в составе заявки в электронной форме, подписываются усиленной квалифицированной электронной подписью заявителя.</w:t>
      </w:r>
      <w:r>
        <w:rPr>
          <w:rFonts w:ascii="Times New Roman" w:hAnsi="Times New Roman" w:cs="Times New Roman"/>
          <w:sz w:val="28"/>
          <w:szCs w:val="28"/>
          <w:highlight w:val="none"/>
        </w:rPr>
      </w:r>
      <w:r/>
    </w:p>
    <w:p>
      <w:pPr>
        <w:pStyle w:val="965"/>
        <w:ind w:firstLine="540"/>
        <w:jc w:val="both"/>
        <w:spacing w:before="0" w:beforeAutospacing="0"/>
      </w:pPr>
      <w:r>
        <w:rPr>
          <w:rFonts w:ascii="Times New Roman" w:hAnsi="Times New Roman" w:cs="Times New Roman"/>
          <w:color w:val="auto"/>
          <w:sz w:val="28"/>
          <w:szCs w:val="28"/>
        </w:rPr>
        <w:t xml:space="preserve">Заявитель подачей сведений и документов, которые предусмотрены </w:t>
      </w:r>
      <w:hyperlink w:tooltip="#P189" w:anchor="P189" w:history="1">
        <w:r>
          <w:rPr>
            <w:rFonts w:ascii="Times New Roman" w:hAnsi="Times New Roman" w:cs="Times New Roman"/>
            <w:color w:val="auto"/>
            <w:sz w:val="28"/>
            <w:szCs w:val="28"/>
          </w:rPr>
          <w:t xml:space="preserve">пунктами 3.1</w:t>
        </w:r>
      </w:hyperlink>
      <w:r>
        <w:rPr>
          <w:rFonts w:ascii="Times New Roman" w:hAnsi="Times New Roman" w:cs="Times New Roman"/>
          <w:color w:val="auto"/>
          <w:sz w:val="28"/>
          <w:szCs w:val="28"/>
        </w:rPr>
        <w:t xml:space="preserve">. и </w:t>
      </w:r>
      <w:hyperlink w:tooltip="#P201" w:anchor="P201" w:history="1">
        <w:r>
          <w:rPr>
            <w:rFonts w:ascii="Times New Roman" w:hAnsi="Times New Roman" w:cs="Times New Roman"/>
            <w:color w:val="auto"/>
            <w:sz w:val="28"/>
            <w:szCs w:val="28"/>
          </w:rPr>
          <w:t xml:space="preserve">3</w:t>
        </w:r>
      </w:hyperlink>
      <w:r>
        <w:rPr>
          <w:rFonts w:ascii="Times New Roman" w:hAnsi="Times New Roman" w:cs="Times New Roman"/>
          <w:color w:val="auto"/>
          <w:sz w:val="28"/>
          <w:szCs w:val="28"/>
        </w:rPr>
        <w:t xml:space="preserve">.3 Документации об аукционе, подтверждает свое соответствие требованиям, установленным </w:t>
      </w:r>
      <w:hyperlink w:tooltip="#P177" w:anchor="P177" w:history="1">
        <w:r>
          <w:rPr>
            <w:rFonts w:ascii="Times New Roman" w:hAnsi="Times New Roman" w:cs="Times New Roman"/>
            <w:color w:val="auto"/>
            <w:sz w:val="28"/>
            <w:szCs w:val="28"/>
          </w:rPr>
          <w:t xml:space="preserve">пунктом </w:t>
        </w:r>
      </w:hyperlink>
      <w:r>
        <w:rPr>
          <w:rFonts w:ascii="Times New Roman" w:hAnsi="Times New Roman" w:cs="Times New Roman"/>
          <w:color w:val="auto"/>
          <w:sz w:val="28"/>
          <w:szCs w:val="28"/>
        </w:rPr>
        <w:t xml:space="preserve">2.1. Документации об аукционе.</w:t>
      </w:r>
      <w:r>
        <w:rPr>
          <w:rFonts w:ascii="Times New Roman" w:hAnsi="Times New Roman" w:cs="Times New Roman"/>
          <w:color w:val="auto"/>
          <w:sz w:val="28"/>
          <w:szCs w:val="28"/>
        </w:rPr>
      </w:r>
      <w:r/>
    </w:p>
    <w:p>
      <w:pPr>
        <w:pStyle w:val="965"/>
        <w:ind w:firstLine="540"/>
        <w:jc w:val="both"/>
      </w:pPr>
      <w:r>
        <w:rPr>
          <w:rFonts w:ascii="Times New Roman" w:hAnsi="Times New Roman" w:cs="Times New Roman"/>
          <w:sz w:val="28"/>
          <w:szCs w:val="28"/>
        </w:rPr>
        <w:t xml:space="preserve">3.5.</w:t>
      </w:r>
      <w:r>
        <w:rPr>
          <w:rFonts w:ascii="Times New Roman" w:hAnsi="Times New Roman" w:cs="Times New Roman"/>
          <w:sz w:val="28"/>
          <w:szCs w:val="28"/>
        </w:rPr>
        <w:t xml:space="preserve"> Требовать от заявителя представления документов, не</w:t>
      </w:r>
      <w:r>
        <w:rPr>
          <w:rFonts w:ascii="Times New Roman" w:hAnsi="Times New Roman" w:cs="Times New Roman"/>
          <w:sz w:val="28"/>
          <w:szCs w:val="28"/>
        </w:rPr>
        <w:t xml:space="preserve"> </w:t>
      </w:r>
      <w:r>
        <w:rPr>
          <w:rFonts w:ascii="Times New Roman" w:hAnsi="Times New Roman" w:cs="Times New Roman"/>
          <w:sz w:val="28"/>
          <w:szCs w:val="28"/>
        </w:rPr>
        <w:t xml:space="preserve">предусмотренных </w:t>
      </w:r>
      <w:hyperlink w:tooltip="#P172" w:anchor="P172" w:history="1">
        <w:r>
          <w:rPr>
            <w:rFonts w:ascii="Times New Roman" w:hAnsi="Times New Roman" w:cs="Times New Roman"/>
            <w:sz w:val="28"/>
            <w:szCs w:val="28"/>
          </w:rPr>
          <w:t xml:space="preserve">пунктами </w:t>
        </w:r>
      </w:hyperlink>
      <w:r>
        <w:rPr>
          <w:rFonts w:ascii="Times New Roman" w:hAnsi="Times New Roman" w:cs="Times New Roman"/>
          <w:sz w:val="28"/>
          <w:szCs w:val="28"/>
        </w:rPr>
        <w:t xml:space="preserve">3.1. и 3.3 Документации</w:t>
      </w:r>
      <w:r>
        <w:rPr>
          <w:rFonts w:ascii="Times New Roman" w:hAnsi="Times New Roman" w:cs="Times New Roman"/>
          <w:sz w:val="28"/>
          <w:szCs w:val="28"/>
        </w:rPr>
        <w:t xml:space="preserve">, не допускается.</w:t>
      </w:r>
      <w:r>
        <w:rPr>
          <w:rFonts w:ascii="Times New Roman" w:hAnsi="Times New Roman" w:cs="Times New Roman"/>
          <w:sz w:val="28"/>
          <w:szCs w:val="28"/>
        </w:rPr>
      </w:r>
      <w:r/>
    </w:p>
    <w:p>
      <w:pPr>
        <w:pStyle w:val="965"/>
        <w:ind w:firstLine="540"/>
        <w:jc w:val="both"/>
      </w:pPr>
      <w:r>
        <w:rPr>
          <w:rFonts w:ascii="Times New Roman" w:hAnsi="Times New Roman" w:cs="Times New Roman"/>
          <w:sz w:val="28"/>
          <w:szCs w:val="28"/>
        </w:rPr>
        <w:t xml:space="preserve">3</w:t>
      </w:r>
      <w:r>
        <w:rPr>
          <w:rFonts w:ascii="Times New Roman" w:hAnsi="Times New Roman" w:cs="Times New Roman"/>
          <w:sz w:val="28"/>
          <w:szCs w:val="28"/>
        </w:rPr>
        <w:t xml:space="preserve">.6</w:t>
      </w:r>
      <w:r>
        <w:rPr>
          <w:rFonts w:ascii="Times New Roman" w:hAnsi="Times New Roman" w:cs="Times New Roman"/>
          <w:sz w:val="28"/>
          <w:szCs w:val="28"/>
        </w:rPr>
        <w:t xml:space="preserve">. Заявитель впр</w:t>
      </w:r>
      <w:r>
        <w:rPr>
          <w:rFonts w:ascii="Times New Roman" w:hAnsi="Times New Roman" w:cs="Times New Roman"/>
          <w:sz w:val="28"/>
          <w:szCs w:val="28"/>
        </w:rPr>
        <w:t xml:space="preserve">аве подать не более одной заявки на участие в аукционе в отношении каждого предмета аукциона (лота). Представление заявки подтверждает согласие заявителя выполнять обязательства в соответствии с извещением о проведении аукциона и документацией об аукционе.</w:t>
      </w:r>
      <w:r>
        <w:rPr>
          <w:rFonts w:ascii="Times New Roman" w:hAnsi="Times New Roman" w:cs="Times New Roman"/>
          <w:sz w:val="28"/>
          <w:szCs w:val="28"/>
        </w:rPr>
      </w:r>
      <w:r/>
    </w:p>
    <w:p>
      <w:pPr>
        <w:pStyle w:val="965"/>
        <w:ind w:firstLine="540"/>
        <w:jc w:val="both"/>
      </w:pPr>
      <w:r>
        <w:rPr>
          <w:rFonts w:ascii="Times New Roman" w:hAnsi="Times New Roman" w:cs="Times New Roman"/>
          <w:sz w:val="28"/>
          <w:szCs w:val="28"/>
        </w:rPr>
        <w:t xml:space="preserve">3</w:t>
      </w:r>
      <w:r>
        <w:rPr>
          <w:rFonts w:ascii="Times New Roman" w:hAnsi="Times New Roman" w:cs="Times New Roman"/>
          <w:sz w:val="28"/>
          <w:szCs w:val="28"/>
        </w:rPr>
        <w:t xml:space="preserve">.7</w:t>
      </w:r>
      <w:r>
        <w:rPr>
          <w:rFonts w:ascii="Times New Roman" w:hAnsi="Times New Roman" w:cs="Times New Roman"/>
          <w:sz w:val="28"/>
          <w:szCs w:val="28"/>
        </w:rPr>
        <w:t xml:space="preserve">. Заявка на участие в аукционе, поступившая в срок, указанный в извещении о проведении аукциона, регистрируется оператором электронной площадки с указанием даты и времени ее получения.</w:t>
      </w:r>
      <w:r>
        <w:rPr>
          <w:rFonts w:ascii="Times New Roman" w:hAnsi="Times New Roman" w:cs="Times New Roman"/>
          <w:sz w:val="28"/>
          <w:szCs w:val="28"/>
        </w:rPr>
      </w:r>
      <w:r/>
    </w:p>
    <w:p>
      <w:pPr>
        <w:pStyle w:val="965"/>
        <w:ind w:firstLine="540"/>
        <w:jc w:val="both"/>
      </w:pPr>
      <w:r>
        <w:rPr>
          <w:rFonts w:ascii="Times New Roman" w:hAnsi="Times New Roman" w:cs="Times New Roman"/>
          <w:sz w:val="28"/>
          <w:szCs w:val="28"/>
        </w:rPr>
        <w:t xml:space="preserve">Оператор электронной площадки не позднее 10 минут с момента получения заявки направляет в банк, в котором </w:t>
      </w:r>
      <w:r>
        <w:rPr>
          <w:rFonts w:ascii="Times New Roman" w:hAnsi="Times New Roman" w:cs="Times New Roman"/>
          <w:sz w:val="28"/>
          <w:szCs w:val="28"/>
        </w:rPr>
        <w:t xml:space="preserve">открыт </w:t>
      </w:r>
      <w:r>
        <w:rPr>
          <w:rFonts w:ascii="Times New Roman" w:hAnsi="Times New Roman" w:cs="Times New Roman"/>
          <w:sz w:val="28"/>
          <w:szCs w:val="28"/>
        </w:rPr>
        <w:t xml:space="preserve">специальный счет, </w:t>
      </w:r>
      <w:r>
        <w:rPr>
          <w:rFonts w:ascii="Times New Roman" w:hAnsi="Times New Roman" w:cs="Times New Roman"/>
          <w:sz w:val="28"/>
          <w:szCs w:val="28"/>
        </w:rPr>
        <w:t xml:space="preserve">информацию о реквизитах такого счета и размере задатка.</w:t>
      </w:r>
      <w:r>
        <w:rPr>
          <w:rFonts w:ascii="Times New Roman" w:hAnsi="Times New Roman" w:cs="Times New Roman"/>
          <w:sz w:val="28"/>
          <w:szCs w:val="28"/>
        </w:rPr>
      </w:r>
      <w:r/>
    </w:p>
    <w:p>
      <w:pPr>
        <w:pStyle w:val="965"/>
        <w:ind w:firstLine="540"/>
        <w:jc w:val="both"/>
        <w:spacing w:before="0" w:beforeAutospacing="0"/>
      </w:pPr>
      <w:r>
        <w:rPr>
          <w:rFonts w:ascii="Times New Roman" w:hAnsi="Times New Roman" w:cs="Times New Roman"/>
          <w:sz w:val="28"/>
          <w:szCs w:val="28"/>
        </w:rPr>
        <w:t xml:space="preserve">Банк не позднее 40 мину</w:t>
      </w:r>
      <w:r>
        <w:rPr>
          <w:rFonts w:ascii="Times New Roman" w:hAnsi="Times New Roman" w:cs="Times New Roman"/>
          <w:sz w:val="28"/>
          <w:szCs w:val="28"/>
        </w:rPr>
        <w:t xml:space="preserve">т с момента получения информации от оператора электронной площадки осуществляет блокирование денежных средств на специальном счете в размере задатка и направляет информацию об осуществленном блокировании оператору электронной площадки. В случае отсутствия </w:t>
      </w:r>
      <w:r>
        <w:rPr>
          <w:rFonts w:ascii="Times New Roman" w:hAnsi="Times New Roman" w:cs="Times New Roman"/>
          <w:sz w:val="28"/>
          <w:szCs w:val="28"/>
        </w:rPr>
        <w:t xml:space="preserve">на специальном счете незаблокированных денежных средств в размере задатка банк такое блокирование не осуществляет и в указанный срок направляет оператору электронной площадки информацию об отсутствии на специальном счете денежных средств в размере задатка.</w:t>
      </w:r>
      <w:r>
        <w:rPr>
          <w:rFonts w:ascii="Times New Roman" w:hAnsi="Times New Roman" w:cs="Times New Roman"/>
          <w:sz w:val="28"/>
          <w:szCs w:val="28"/>
          <w:highlight w:val="none"/>
        </w:rPr>
      </w:r>
      <w:r/>
    </w:p>
    <w:p>
      <w:pPr>
        <w:pStyle w:val="965"/>
        <w:ind w:firstLine="540"/>
        <w:jc w:val="both"/>
        <w:spacing w:before="0" w:beforeAutospacing="0"/>
      </w:pPr>
      <w:r>
        <w:rPr>
          <w:rFonts w:ascii="Times New Roman" w:hAnsi="Times New Roman" w:cs="Times New Roman"/>
          <w:sz w:val="28"/>
          <w:szCs w:val="28"/>
          <w:highlight w:val="none"/>
        </w:rPr>
        <w:t xml:space="preserve">3.8. </w:t>
      </w:r>
      <w:r>
        <w:rPr>
          <w:rFonts w:ascii="Times New Roman" w:hAnsi="Times New Roman" w:cs="Times New Roman"/>
          <w:sz w:val="28"/>
          <w:szCs w:val="28"/>
        </w:rPr>
      </w:r>
      <w:bookmarkStart w:id="0" w:name="undefined"/>
      <w:r>
        <w:rPr>
          <w:rFonts w:ascii="Times New Roman" w:hAnsi="Times New Roman" w:cs="Times New Roman"/>
          <w:sz w:val="28"/>
          <w:szCs w:val="28"/>
        </w:rPr>
      </w:r>
      <w:bookmarkEnd w:id="0"/>
      <w:r>
        <w:rPr>
          <w:rFonts w:ascii="Times New Roman" w:hAnsi="Times New Roman" w:cs="Times New Roman"/>
          <w:sz w:val="28"/>
          <w:szCs w:val="28"/>
        </w:rPr>
        <w:t xml:space="preserve">Оператор электронной площадки не позднее одного часа с момента окончания срока подачи заявок на участие в аукционе направляет организатору аукциона все поступившие заявки.</w:t>
      </w:r>
      <w:r>
        <w:rPr>
          <w:rFonts w:ascii="Times New Roman" w:hAnsi="Times New Roman" w:cs="Times New Roman"/>
          <w:sz w:val="28"/>
          <w:szCs w:val="28"/>
        </w:rPr>
      </w:r>
      <w:r/>
    </w:p>
    <w:p>
      <w:pPr>
        <w:pStyle w:val="965"/>
        <w:ind w:firstLine="540"/>
        <w:jc w:val="both"/>
        <w:spacing w:before="0" w:beforeAutospacing="0"/>
      </w:pPr>
      <w:r>
        <w:rPr>
          <w:rFonts w:ascii="Times New Roman" w:hAnsi="Times New Roman" w:cs="Times New Roman"/>
          <w:color w:val="auto"/>
          <w:sz w:val="28"/>
          <w:szCs w:val="28"/>
        </w:rPr>
        <w:t xml:space="preserve">Оператор электронной площадки обязан обеспечить конфиденциальность информации о заявителях и об участниках аукциона, направивших предусмотренные </w:t>
      </w:r>
      <w:hyperlink w:tooltip="#P189" w:anchor="P189" w:history="1">
        <w:r>
          <w:rPr>
            <w:rFonts w:ascii="Times New Roman" w:hAnsi="Times New Roman" w:cs="Times New Roman"/>
            <w:color w:val="auto"/>
            <w:sz w:val="28"/>
            <w:szCs w:val="28"/>
          </w:rPr>
          <w:t xml:space="preserve">пунктами 3.</w:t>
        </w:r>
      </w:hyperlink>
      <w:r>
        <w:rPr>
          <w:rFonts w:ascii="Times New Roman" w:hAnsi="Times New Roman" w:cs="Times New Roman"/>
          <w:color w:val="auto"/>
          <w:sz w:val="28"/>
          <w:szCs w:val="28"/>
        </w:rPr>
        <w:t xml:space="preserve">1 и </w:t>
      </w:r>
      <w:hyperlink w:tooltip="#P201" w:anchor="P201" w:history="1">
        <w:r>
          <w:rPr>
            <w:rFonts w:ascii="Times New Roman" w:hAnsi="Times New Roman" w:cs="Times New Roman"/>
            <w:color w:val="auto"/>
            <w:sz w:val="28"/>
            <w:szCs w:val="28"/>
          </w:rPr>
          <w:t xml:space="preserve">3.</w:t>
        </w:r>
      </w:hyperlink>
      <w:r>
        <w:rPr>
          <w:rFonts w:ascii="Times New Roman" w:hAnsi="Times New Roman" w:cs="Times New Roman"/>
          <w:color w:val="auto"/>
          <w:sz w:val="28"/>
          <w:szCs w:val="28"/>
        </w:rPr>
        <w:t xml:space="preserve">3 Документации об аукционе информацию и документы, и содержания таких документов до направления </w:t>
      </w:r>
      <w:r>
        <w:rPr>
          <w:rFonts w:ascii="Times New Roman" w:hAnsi="Times New Roman" w:cs="Times New Roman"/>
          <w:color w:val="auto"/>
          <w:sz w:val="28"/>
          <w:szCs w:val="28"/>
        </w:rPr>
        <w:t xml:space="preserve">организатору аукциона заявок на участие в аукционе, а также бесперебойное функционирование электронной площадки и доступ к ней организатора аукциона, заявителей и участников аукциона в течение всего срока проведения аукциона.</w:t>
      </w:r>
      <w:r>
        <w:rPr>
          <w:rFonts w:ascii="Times New Roman" w:hAnsi="Times New Roman" w:cs="Times New Roman"/>
          <w:color w:val="auto"/>
          <w:sz w:val="28"/>
          <w:szCs w:val="28"/>
        </w:rPr>
      </w:r>
      <w:r/>
    </w:p>
    <w:p>
      <w:pPr>
        <w:pStyle w:val="965"/>
        <w:ind w:firstLine="540"/>
        <w:jc w:val="both"/>
      </w:pPr>
      <w:r>
        <w:rPr>
          <w:rFonts w:ascii="Times New Roman" w:hAnsi="Times New Roman" w:cs="Times New Roman"/>
          <w:sz w:val="28"/>
          <w:szCs w:val="28"/>
        </w:rPr>
        <w:t xml:space="preserve">3</w:t>
      </w:r>
      <w:r>
        <w:rPr>
          <w:rFonts w:ascii="Times New Roman" w:hAnsi="Times New Roman" w:cs="Times New Roman"/>
          <w:sz w:val="28"/>
          <w:szCs w:val="28"/>
        </w:rPr>
        <w:t xml:space="preserve">.</w:t>
      </w:r>
      <w:r>
        <w:rPr>
          <w:rFonts w:ascii="Times New Roman" w:hAnsi="Times New Roman" w:cs="Times New Roman"/>
          <w:sz w:val="28"/>
          <w:szCs w:val="28"/>
        </w:rPr>
        <w:t xml:space="preserve">9. Заявка на участие в аукционе возвращается оператором электронной площадки в течение одного часа с момента подачи в следующих случаях:</w:t>
      </w:r>
      <w:r>
        <w:rPr>
          <w:rFonts w:ascii="Times New Roman" w:hAnsi="Times New Roman" w:cs="Times New Roman"/>
          <w:sz w:val="28"/>
          <w:szCs w:val="28"/>
        </w:rPr>
      </w:r>
      <w:r/>
    </w:p>
    <w:p>
      <w:pPr>
        <w:pStyle w:val="965"/>
        <w:ind w:firstLine="540"/>
        <w:jc w:val="both"/>
      </w:pPr>
      <w:r>
        <w:rPr>
          <w:rFonts w:ascii="Times New Roman" w:hAnsi="Times New Roman" w:cs="Times New Roman"/>
          <w:sz w:val="28"/>
          <w:szCs w:val="28"/>
        </w:rPr>
        <w:t xml:space="preserve">а) подачи заявителем 2-й заявки в отношении одного и того же предмета аукциона (лота) при условии, что поданная ранее заявка таким заявителем не отозвана;</w:t>
      </w:r>
      <w:r>
        <w:rPr>
          <w:rFonts w:ascii="Times New Roman" w:hAnsi="Times New Roman" w:cs="Times New Roman"/>
          <w:sz w:val="28"/>
          <w:szCs w:val="28"/>
        </w:rPr>
      </w:r>
      <w:r/>
    </w:p>
    <w:p>
      <w:pPr>
        <w:pStyle w:val="965"/>
        <w:ind w:firstLine="540"/>
        <w:jc w:val="both"/>
      </w:pPr>
      <w:r>
        <w:rPr>
          <w:rFonts w:ascii="Times New Roman" w:hAnsi="Times New Roman" w:cs="Times New Roman"/>
          <w:sz w:val="28"/>
          <w:szCs w:val="28"/>
        </w:rPr>
        <w:t xml:space="preserve">б) подачи заявки по истечении срока подачи заявок;</w:t>
      </w:r>
      <w:r>
        <w:rPr>
          <w:rFonts w:ascii="Times New Roman" w:hAnsi="Times New Roman" w:cs="Times New Roman"/>
          <w:sz w:val="28"/>
          <w:szCs w:val="28"/>
        </w:rPr>
      </w:r>
      <w:r/>
    </w:p>
    <w:p>
      <w:pPr>
        <w:pStyle w:val="965"/>
        <w:ind w:firstLine="540"/>
        <w:jc w:val="both"/>
      </w:pPr>
      <w:r>
        <w:rPr>
          <w:rFonts w:ascii="Times New Roman" w:hAnsi="Times New Roman" w:cs="Times New Roman"/>
          <w:sz w:val="28"/>
          <w:szCs w:val="28"/>
        </w:rPr>
        <w:t xml:space="preserve">в) получение от банка информации об отсутствии на специальном счете денежных средств в размере задатка;</w:t>
      </w:r>
      <w:r>
        <w:rPr>
          <w:rFonts w:ascii="Times New Roman" w:hAnsi="Times New Roman" w:cs="Times New Roman"/>
          <w:sz w:val="28"/>
          <w:szCs w:val="28"/>
        </w:rPr>
      </w:r>
      <w:r/>
    </w:p>
    <w:p>
      <w:pPr>
        <w:pStyle w:val="965"/>
        <w:ind w:firstLine="540"/>
        <w:jc w:val="both"/>
      </w:pPr>
      <w:r>
        <w:rPr>
          <w:rFonts w:ascii="Times New Roman" w:hAnsi="Times New Roman" w:cs="Times New Roman"/>
          <w:sz w:val="28"/>
          <w:szCs w:val="28"/>
        </w:rPr>
        <w:t xml:space="preserve">г) получение заявки, не подписанной усиленной квалифицированной электронной подписью заявителя.</w:t>
      </w:r>
      <w:r>
        <w:rPr>
          <w:rFonts w:ascii="Times New Roman" w:hAnsi="Times New Roman" w:cs="Times New Roman"/>
          <w:sz w:val="28"/>
          <w:szCs w:val="28"/>
          <w:highlight w:val="none"/>
        </w:rPr>
      </w:r>
      <w:r/>
    </w:p>
    <w:p>
      <w:pPr>
        <w:pStyle w:val="965"/>
        <w:ind w:firstLine="540"/>
        <w:jc w:val="both"/>
      </w:pPr>
      <w:r>
        <w:rPr>
          <w:rFonts w:ascii="Times New Roman" w:hAnsi="Times New Roman" w:cs="Times New Roman"/>
          <w:sz w:val="28"/>
          <w:szCs w:val="28"/>
          <w:highlight w:val="none"/>
        </w:rPr>
      </w:r>
      <w:r>
        <w:rPr>
          <w:rFonts w:ascii="Times New Roman" w:hAnsi="Times New Roman" w:cs="Times New Roman"/>
          <w:sz w:val="28"/>
          <w:szCs w:val="28"/>
        </w:rPr>
      </w:r>
      <w:r/>
    </w:p>
    <w:p>
      <w:pPr>
        <w:pStyle w:val="966"/>
        <w:ind w:right="0"/>
        <w:jc w:val="center"/>
        <w:widowControl/>
      </w:pPr>
      <w:r>
        <w:rPr>
          <w:rFonts w:ascii="Times New Roman" w:hAnsi="Times New Roman" w:cs="Times New Roman"/>
          <w:b/>
          <w:bCs/>
          <w:sz w:val="28"/>
          <w:szCs w:val="28"/>
        </w:rPr>
        <w:t xml:space="preserve">4. </w:t>
      </w:r>
      <w:r>
        <w:rPr>
          <w:rFonts w:ascii="Times New Roman" w:hAnsi="Times New Roman" w:cs="Times New Roman"/>
          <w:b/>
          <w:bCs/>
          <w:sz w:val="28"/>
          <w:szCs w:val="28"/>
        </w:rPr>
        <w:t xml:space="preserve">П</w:t>
      </w:r>
      <w:r>
        <w:rPr>
          <w:rFonts w:ascii="Times New Roman" w:hAnsi="Times New Roman" w:cs="Times New Roman"/>
          <w:b/>
          <w:bCs/>
          <w:sz w:val="28"/>
          <w:szCs w:val="28"/>
        </w:rPr>
        <w:t xml:space="preserve">орядок внесения задатка</w:t>
      </w:r>
      <w:r>
        <w:rPr>
          <w:rFonts w:ascii="Times New Roman" w:hAnsi="Times New Roman" w:cs="Times New Roman"/>
          <w:b/>
          <w:bCs/>
          <w:sz w:val="28"/>
          <w:szCs w:val="28"/>
        </w:rPr>
      </w:r>
      <w:r/>
    </w:p>
    <w:p>
      <w:pPr>
        <w:pStyle w:val="966"/>
        <w:ind w:right="0"/>
        <w:jc w:val="both"/>
        <w:widowControl/>
      </w:pPr>
      <w:r>
        <w:rPr>
          <w:rFonts w:ascii="Times New Roman" w:hAnsi="Times New Roman" w:cs="Times New Roman"/>
          <w:b/>
          <w:bCs/>
          <w:sz w:val="28"/>
          <w:szCs w:val="28"/>
        </w:rPr>
      </w:r>
      <w:r>
        <w:rPr>
          <w:rFonts w:ascii="Times New Roman" w:hAnsi="Times New Roman" w:cs="Times New Roman"/>
          <w:b/>
          <w:bCs/>
          <w:sz w:val="28"/>
          <w:szCs w:val="28"/>
        </w:rPr>
      </w:r>
      <w:r/>
    </w:p>
    <w:p>
      <w:pPr>
        <w:pStyle w:val="956"/>
        <w:ind w:right="0" w:firstLine="567"/>
        <w:jc w:val="both"/>
        <w:widowControl/>
      </w:pPr>
      <w:r>
        <w:rPr>
          <w:rFonts w:ascii="Times New Roman" w:hAnsi="Times New Roman" w:cs="Times New Roman"/>
          <w:color w:val="000000"/>
          <w:sz w:val="28"/>
          <w:szCs w:val="28"/>
        </w:rPr>
        <w:t xml:space="preserve">4.1</w:t>
      </w:r>
      <w:r>
        <w:rPr>
          <w:rFonts w:ascii="Times New Roman" w:hAnsi="Times New Roman" w:cs="Times New Roman"/>
          <w:color w:val="000000"/>
          <w:sz w:val="28"/>
          <w:szCs w:val="28"/>
        </w:rPr>
        <w:t xml:space="preserve">.</w:t>
      </w:r>
      <w:r>
        <w:rPr>
          <w:rFonts w:ascii="Times New Roman" w:hAnsi="Times New Roman" w:cs="Times New Roman"/>
          <w:color w:val="000000"/>
          <w:sz w:val="28"/>
          <w:szCs w:val="28"/>
        </w:rPr>
        <w:t xml:space="preserve"> Размер задатк</w:t>
      </w:r>
      <w:r>
        <w:rPr>
          <w:rFonts w:ascii="Times New Roman" w:hAnsi="Times New Roman" w:cs="Times New Roman"/>
          <w:color w:val="000000"/>
          <w:sz w:val="28"/>
          <w:szCs w:val="28"/>
        </w:rPr>
        <w:t xml:space="preserve">а</w:t>
      </w:r>
      <w:r>
        <w:rPr>
          <w:rFonts w:ascii="Times New Roman" w:hAnsi="Times New Roman" w:cs="Times New Roman"/>
          <w:color w:val="000000"/>
          <w:sz w:val="28"/>
          <w:szCs w:val="28"/>
        </w:rPr>
        <w:t xml:space="preserve"> –</w:t>
      </w:r>
      <w:r>
        <w:rPr>
          <w:rFonts w:ascii="Times New Roman" w:hAnsi="Times New Roman" w:cs="Times New Roman"/>
          <w:color w:val="0000ff"/>
          <w:sz w:val="28"/>
          <w:szCs w:val="28"/>
        </w:rPr>
        <w:t xml:space="preserve"> </w:t>
      </w:r>
      <w:r>
        <w:rPr>
          <w:rFonts w:ascii="Times New Roman" w:hAnsi="Times New Roman" w:cs="Times New Roman"/>
          <w:sz w:val="28"/>
          <w:szCs w:val="28"/>
        </w:rPr>
        <w:t xml:space="preserve">в соответствии с данными, приведенными в таблице, изложенной</w:t>
      </w:r>
      <w:r>
        <w:rPr>
          <w:rFonts w:ascii="Times New Roman" w:hAnsi="Times New Roman" w:cs="Times New Roman"/>
          <w:sz w:val="28"/>
          <w:szCs w:val="28"/>
        </w:rPr>
        <w:t xml:space="preserve"> </w:t>
      </w:r>
      <w:r>
        <w:rPr>
          <w:rFonts w:ascii="Times New Roman" w:hAnsi="Times New Roman" w:cs="Times New Roman"/>
          <w:sz w:val="28"/>
          <w:szCs w:val="28"/>
        </w:rPr>
        <w:t xml:space="preserve">в пункте</w:t>
      </w:r>
      <w:r>
        <w:rPr>
          <w:rFonts w:ascii="Times New Roman" w:hAnsi="Times New Roman" w:cs="Times New Roman"/>
          <w:sz w:val="28"/>
          <w:szCs w:val="28"/>
        </w:rPr>
        <w:t xml:space="preserve"> 1.2</w:t>
      </w:r>
      <w:r>
        <w:rPr>
          <w:rFonts w:ascii="Times New Roman" w:hAnsi="Times New Roman" w:cs="Times New Roman"/>
          <w:sz w:val="28"/>
          <w:szCs w:val="28"/>
        </w:rPr>
        <w:t xml:space="preserve"> </w:t>
      </w:r>
      <w:r>
        <w:rPr>
          <w:rFonts w:ascii="Times New Roman" w:hAnsi="Times New Roman" w:cs="Times New Roman"/>
          <w:sz w:val="28"/>
          <w:szCs w:val="28"/>
        </w:rPr>
        <w:t xml:space="preserve">Д</w:t>
      </w:r>
      <w:r>
        <w:rPr>
          <w:rFonts w:ascii="Times New Roman" w:hAnsi="Times New Roman" w:cs="Times New Roman"/>
          <w:sz w:val="28"/>
          <w:szCs w:val="28"/>
        </w:rPr>
        <w:t xml:space="preserve">окументации об аукционе.</w:t>
      </w:r>
      <w:r>
        <w:rPr>
          <w:rFonts w:ascii="Times New Roman" w:hAnsi="Times New Roman" w:cs="Times New Roman"/>
          <w:color w:val="000000"/>
          <w:sz w:val="28"/>
          <w:szCs w:val="28"/>
        </w:rPr>
      </w:r>
      <w:r/>
    </w:p>
    <w:p>
      <w:pPr>
        <w:ind w:firstLine="540"/>
      </w:pPr>
      <w:r>
        <w:rPr>
          <w:rFonts w:ascii="Times New Roman" w:hAnsi="Times New Roman" w:cs="Times New Roman"/>
          <w:color w:val="000000"/>
          <w:sz w:val="28"/>
          <w:szCs w:val="28"/>
        </w:rPr>
        <w:t xml:space="preserve">4.2</w:t>
      </w:r>
      <w:r>
        <w:rPr>
          <w:rFonts w:ascii="Times New Roman" w:hAnsi="Times New Roman" w:cs="Times New Roman"/>
          <w:color w:val="000000"/>
          <w:sz w:val="28"/>
          <w:szCs w:val="28"/>
        </w:rPr>
        <w:t xml:space="preserve">.</w:t>
      </w:r>
      <w:r>
        <w:rPr>
          <w:rFonts w:ascii="Times New Roman" w:hAnsi="Times New Roman" w:cs="Times New Roman"/>
          <w:color w:val="000000"/>
          <w:sz w:val="28"/>
          <w:szCs w:val="28"/>
        </w:rPr>
        <w:t xml:space="preserve"> </w:t>
      </w:r>
      <w:r>
        <w:rPr>
          <w:rFonts w:ascii="Times New Roman" w:hAnsi="Times New Roman" w:cs="Times New Roman"/>
          <w:sz w:val="28"/>
          <w:szCs w:val="28"/>
        </w:rPr>
        <w:t xml:space="preserve">Задаток</w:t>
      </w:r>
      <w:r>
        <w:rPr>
          <w:rFonts w:ascii="Times New Roman" w:hAnsi="Times New Roman" w:cs="Times New Roman"/>
          <w:sz w:val="28"/>
          <w:szCs w:val="28"/>
        </w:rPr>
        <w:t xml:space="preserve"> </w:t>
      </w:r>
      <w:r>
        <w:rPr>
          <w:rFonts w:ascii="Times New Roman" w:hAnsi="Times New Roman" w:cs="Times New Roman"/>
          <w:sz w:val="28"/>
          <w:szCs w:val="28"/>
        </w:rPr>
        <w:t xml:space="preserve">вносится участниками аукциона на </w:t>
      </w:r>
      <w:r>
        <w:rPr>
          <w:rFonts w:ascii="Times New Roman" w:hAnsi="Times New Roman" w:cs="Times New Roman"/>
          <w:sz w:val="28"/>
          <w:szCs w:val="28"/>
        </w:rPr>
        <w:t xml:space="preserve">специальный счет</w:t>
      </w:r>
      <w:r>
        <w:rPr>
          <w:rFonts w:ascii="Times New Roman" w:hAnsi="Times New Roman" w:cs="Times New Roman"/>
          <w:sz w:val="28"/>
          <w:szCs w:val="28"/>
        </w:rPr>
        <w:t xml:space="preserve">. </w:t>
      </w:r>
      <w:r>
        <w:rPr>
          <w:rFonts w:ascii="Times New Roman" w:hAnsi="Times New Roman" w:cs="Times New Roman"/>
          <w:sz w:val="28"/>
          <w:szCs w:val="28"/>
        </w:rPr>
      </w:r>
      <w:r/>
    </w:p>
    <w:p>
      <w:pPr>
        <w:ind w:firstLine="540"/>
      </w:pPr>
      <w:r>
        <w:rPr>
          <w:rFonts w:ascii="Times New Roman" w:hAnsi="Times New Roman" w:cs="Times New Roman"/>
          <w:sz w:val="28"/>
          <w:szCs w:val="28"/>
        </w:rPr>
        <w:t xml:space="preserve">В целях блокирования и прекращения блокирования денежных средств на специальном счете взаимодействие банков с оператором электронной площадки осуществляется в соответствии с положениями </w:t>
      </w:r>
      <w:r>
        <w:rPr>
          <w:rFonts w:ascii="Times New Roman" w:hAnsi="Times New Roman" w:cs="Times New Roman"/>
          <w:sz w:val="28"/>
          <w:szCs w:val="28"/>
        </w:rPr>
        <w:t xml:space="preserve">Закона о контрактной системе. </w:t>
      </w:r>
      <w:r>
        <w:rPr>
          <w:rFonts w:ascii="Times New Roman" w:hAnsi="Times New Roman" w:cs="Times New Roman"/>
          <w:sz w:val="28"/>
          <w:szCs w:val="28"/>
        </w:rPr>
      </w:r>
      <w:r/>
    </w:p>
    <w:p>
      <w:pPr>
        <w:pStyle w:val="956"/>
        <w:ind w:right="0"/>
        <w:jc w:val="both"/>
        <w:widowControl/>
      </w:pPr>
      <w:r>
        <w:rPr>
          <w:rFonts w:ascii="Times New Roman" w:hAnsi="Times New Roman" w:cs="Times New Roman"/>
          <w:color w:val="000000"/>
          <w:sz w:val="28"/>
          <w:szCs w:val="28"/>
        </w:rPr>
      </w:r>
      <w:r>
        <w:rPr>
          <w:rFonts w:ascii="Times New Roman" w:hAnsi="Times New Roman" w:cs="Times New Roman"/>
          <w:color w:val="000000"/>
          <w:sz w:val="28"/>
          <w:szCs w:val="28"/>
        </w:rPr>
      </w:r>
      <w:r/>
    </w:p>
    <w:p>
      <w:pPr>
        <w:pStyle w:val="966"/>
        <w:ind w:right="0"/>
        <w:jc w:val="center"/>
        <w:widowControl/>
      </w:pPr>
      <w:r>
        <w:rPr>
          <w:rFonts w:ascii="Times New Roman" w:hAnsi="Times New Roman" w:cs="Times New Roman"/>
          <w:b/>
          <w:bCs/>
          <w:sz w:val="28"/>
          <w:szCs w:val="28"/>
        </w:rPr>
        <w:t xml:space="preserve">5. </w:t>
      </w:r>
      <w:r>
        <w:rPr>
          <w:rFonts w:ascii="Times New Roman" w:hAnsi="Times New Roman" w:cs="Times New Roman"/>
          <w:b/>
          <w:bCs/>
          <w:sz w:val="28"/>
          <w:szCs w:val="28"/>
        </w:rPr>
        <w:t xml:space="preserve">Д</w:t>
      </w:r>
      <w:r>
        <w:rPr>
          <w:rFonts w:ascii="Times New Roman" w:hAnsi="Times New Roman" w:cs="Times New Roman"/>
          <w:b/>
          <w:bCs/>
          <w:sz w:val="28"/>
          <w:szCs w:val="28"/>
        </w:rPr>
        <w:t xml:space="preserve">аты начала и окончания срока подачи заявок на участие в аукционе</w:t>
      </w:r>
      <w:r>
        <w:rPr>
          <w:rFonts w:ascii="Times New Roman" w:hAnsi="Times New Roman" w:cs="Times New Roman"/>
          <w:b/>
          <w:bCs/>
          <w:sz w:val="28"/>
          <w:szCs w:val="28"/>
        </w:rPr>
        <w:t xml:space="preserve"> </w:t>
      </w:r>
      <w:r>
        <w:rPr>
          <w:rFonts w:ascii="Times New Roman" w:hAnsi="Times New Roman" w:cs="Times New Roman"/>
          <w:b/>
          <w:bCs/>
          <w:sz w:val="28"/>
          <w:szCs w:val="28"/>
        </w:rPr>
      </w:r>
      <w:r/>
    </w:p>
    <w:p>
      <w:pPr>
        <w:ind w:firstLine="720"/>
      </w:pPr>
      <w:r>
        <w:rPr>
          <w:rFonts w:ascii="Times New Roman" w:hAnsi="Times New Roman" w:cs="Times New Roman"/>
          <w:sz w:val="28"/>
          <w:szCs w:val="28"/>
        </w:rPr>
      </w:r>
      <w:r>
        <w:rPr>
          <w:rFonts w:ascii="Times New Roman" w:hAnsi="Times New Roman" w:cs="Times New Roman"/>
          <w:sz w:val="28"/>
          <w:szCs w:val="28"/>
        </w:rPr>
      </w:r>
      <w:r/>
    </w:p>
    <w:p>
      <w:pPr>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sz w:val="28"/>
          <w:szCs w:val="28"/>
        </w:rPr>
        <w:tab/>
      </w:r>
      <w:r>
        <w:rPr>
          <w:rFonts w:ascii="Times New Roman" w:hAnsi="Times New Roman" w:eastAsia="Times New Roman" w:cs="Times New Roman"/>
          <w:sz w:val="28"/>
          <w:szCs w:val="28"/>
        </w:rPr>
        <w:t xml:space="preserve">5.1</w:t>
      </w:r>
      <w:r>
        <w:rPr>
          <w:rFonts w:ascii="Times New Roman" w:hAnsi="Times New Roman" w:eastAsia="Times New Roman" w:cs="Times New Roman"/>
          <w:sz w:val="28"/>
          <w:szCs w:val="28"/>
        </w:rPr>
        <w:t xml:space="preserve">.</w:t>
      </w:r>
      <w:r>
        <w:rPr>
          <w:rFonts w:ascii="Times New Roman" w:hAnsi="Times New Roman" w:eastAsia="Times New Roman" w:cs="Times New Roman"/>
          <w:sz w:val="28"/>
          <w:szCs w:val="28"/>
        </w:rPr>
        <w:t xml:space="preserve"> </w:t>
      </w:r>
      <w:r>
        <w:rPr>
          <w:rFonts w:ascii="Times New Roman" w:hAnsi="Times New Roman" w:cs="Times New Roman"/>
          <w:sz w:val="28"/>
          <w:szCs w:val="28"/>
        </w:rPr>
        <w:t xml:space="preserve">Заявки на участие в аукционе в электронной форме подаются оператору электронной площадки </w:t>
      </w:r>
      <w:r>
        <w:rPr>
          <w:rFonts w:ascii="Times New Roman" w:hAnsi="Times New Roman" w:cs="Times New Roman"/>
          <w:color w:val="000000"/>
          <w:sz w:val="28"/>
          <w:szCs w:val="28"/>
        </w:rPr>
        <w:t xml:space="preserve">с 15:00 </w:t>
      </w:r>
      <w:r>
        <w:rPr>
          <w:rFonts w:ascii="Times New Roman" w:hAnsi="Times New Roman" w:cs="Times New Roman"/>
          <w:color w:val="000000"/>
          <w:sz w:val="28"/>
          <w:szCs w:val="28"/>
        </w:rPr>
        <w:t xml:space="preserve">«</w:t>
      </w:r>
      <w:r>
        <w:rPr>
          <w:rFonts w:ascii="Times New Roman" w:hAnsi="Times New Roman" w:cs="Times New Roman"/>
          <w:color w:val="000000"/>
          <w:sz w:val="28"/>
          <w:szCs w:val="28"/>
        </w:rPr>
        <w:t xml:space="preserve">30»</w:t>
      </w:r>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апреля 2025 г. </w:t>
      </w:r>
      <w:r>
        <w:rPr>
          <w:rFonts w:ascii="Times New Roman" w:hAnsi="Times New Roman" w:cs="Times New Roman"/>
          <w:color w:val="000000"/>
          <w:sz w:val="28"/>
          <w:szCs w:val="28"/>
        </w:rPr>
        <w:br/>
        <w:t xml:space="preserve">до 15:00 (время московское) </w:t>
      </w:r>
      <w:r>
        <w:rPr>
          <w:rFonts w:ascii="Times New Roman" w:hAnsi="Times New Roman" w:cs="Times New Roman"/>
          <w:color w:val="000000"/>
          <w:sz w:val="28"/>
          <w:szCs w:val="28"/>
        </w:rPr>
        <w:t xml:space="preserve">«</w:t>
      </w:r>
      <w:r>
        <w:rPr>
          <w:rFonts w:ascii="Times New Roman" w:hAnsi="Times New Roman" w:cs="Times New Roman"/>
          <w:color w:val="000000"/>
          <w:sz w:val="28"/>
          <w:szCs w:val="28"/>
        </w:rPr>
        <w:t xml:space="preserve">15»</w:t>
      </w:r>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мая 2025 г. по адресу</w:t>
      </w:r>
      <w:r>
        <w:rPr>
          <w:rFonts w:ascii="Times New Roman" w:hAnsi="Times New Roman" w:cs="Times New Roman"/>
          <w:sz w:val="28"/>
          <w:szCs w:val="28"/>
        </w:rPr>
        <w:t xml:space="preserve"> сайта оператора электронной площадки в информационно-телекоммуникационной сети «Интернет»: </w:t>
      </w:r>
      <w:r>
        <w:rPr>
          <w:rFonts w:ascii="Times New Roman" w:hAnsi="Times New Roman" w:cs="Times New Roman"/>
          <w:sz w:val="28"/>
          <w:szCs w:val="28"/>
        </w:rPr>
        <w:t xml:space="preserve">https://lot-online.ru</w:t>
      </w:r>
      <w:r>
        <w:rPr>
          <w:rFonts w:ascii="Times New Roman" w:hAnsi="Times New Roman" w:cs="Times New Roman"/>
          <w:sz w:val="28"/>
          <w:szCs w:val="28"/>
        </w:rPr>
        <w:t xml:space="preserve">.</w:t>
      </w:r>
      <w:r>
        <w:rPr>
          <w:rFonts w:ascii="Times New Roman" w:hAnsi="Times New Roman" w:cs="Times New Roman"/>
          <w:sz w:val="28"/>
          <w:szCs w:val="28"/>
        </w:rPr>
      </w:r>
      <w:r/>
    </w:p>
    <w:p>
      <w:pPr>
        <w:ind w:firstLine="720"/>
      </w:pPr>
      <w:r>
        <w:rPr>
          <w:rFonts w:ascii="Times New Roman" w:hAnsi="Times New Roman" w:eastAsia="Times New Roman" w:cs="Times New Roman"/>
          <w:sz w:val="28"/>
          <w:szCs w:val="28"/>
        </w:rPr>
      </w:r>
      <w:r>
        <w:rPr>
          <w:rFonts w:ascii="Times New Roman" w:hAnsi="Times New Roman" w:cs="Times New Roman"/>
          <w:sz w:val="28"/>
          <w:szCs w:val="28"/>
        </w:rPr>
      </w:r>
      <w:r/>
    </w:p>
    <w:p>
      <w:pPr>
        <w:pStyle w:val="967"/>
        <w:jc w:val="center"/>
        <w:spacing w:after="0"/>
      </w:pPr>
      <w:r>
        <w:rPr>
          <w:rFonts w:ascii="Times New Roman" w:hAnsi="Times New Roman" w:cs="Times New Roman"/>
          <w:sz w:val="28"/>
          <w:szCs w:val="28"/>
        </w:rPr>
        <w:t xml:space="preserve">6. Порядок отзыва заявок, внесение изменений в заявки</w:t>
      </w:r>
      <w:r>
        <w:rPr>
          <w:rFonts w:ascii="Times New Roman" w:hAnsi="Times New Roman" w:cs="Times New Roman"/>
          <w:sz w:val="28"/>
          <w:szCs w:val="28"/>
        </w:rPr>
      </w:r>
      <w:r/>
    </w:p>
    <w:p>
      <w:pPr>
        <w:pStyle w:val="967"/>
        <w:jc w:val="center"/>
        <w:spacing w:after="0"/>
      </w:pPr>
      <w:r>
        <w:rPr>
          <w:rFonts w:ascii="Times New Roman" w:hAnsi="Times New Roman" w:cs="Times New Roman"/>
          <w:sz w:val="28"/>
          <w:szCs w:val="28"/>
        </w:rPr>
      </w:r>
      <w:r>
        <w:rPr>
          <w:rFonts w:ascii="Times New Roman" w:hAnsi="Times New Roman" w:cs="Times New Roman"/>
          <w:sz w:val="28"/>
          <w:szCs w:val="28"/>
        </w:rPr>
      </w:r>
      <w:r/>
    </w:p>
    <w:p>
      <w:pPr>
        <w:ind w:firstLine="539"/>
      </w:pPr>
      <w:r>
        <w:rPr>
          <w:rFonts w:ascii="Times New Roman" w:hAnsi="Times New Roman" w:cs="Times New Roman"/>
          <w:sz w:val="28"/>
          <w:szCs w:val="28"/>
        </w:rPr>
        <w:t xml:space="preserve">6.1</w:t>
      </w:r>
      <w:r>
        <w:rPr>
          <w:rFonts w:ascii="Times New Roman" w:hAnsi="Times New Roman" w:cs="Times New Roman"/>
          <w:sz w:val="28"/>
          <w:szCs w:val="28"/>
        </w:rPr>
        <w:t xml:space="preserve">.</w:t>
      </w:r>
      <w:r>
        <w:rPr>
          <w:rFonts w:ascii="Times New Roman" w:hAnsi="Times New Roman" w:cs="Times New Roman"/>
          <w:sz w:val="28"/>
          <w:szCs w:val="28"/>
        </w:rPr>
        <w:t xml:space="preserve"> </w:t>
      </w:r>
      <w:r>
        <w:rPr>
          <w:rFonts w:ascii="Times New Roman" w:hAnsi="Times New Roman" w:cs="Times New Roman"/>
          <w:sz w:val="28"/>
          <w:szCs w:val="28"/>
        </w:rPr>
        <w:t xml:space="preserve">Заявитель, подавший заявку на участие в аукционе, вправе </w:t>
      </w:r>
      <w:r>
        <w:rPr>
          <w:rFonts w:ascii="Times New Roman" w:hAnsi="Times New Roman" w:cs="Times New Roman"/>
          <w:sz w:val="28"/>
          <w:szCs w:val="28"/>
        </w:rPr>
        <w:t xml:space="preserve">отозвать заявку в любое время до окончания срока подачи таких заявок и подать </w:t>
      </w:r>
      <w:r>
        <w:rPr>
          <w:rFonts w:ascii="Times New Roman" w:hAnsi="Times New Roman" w:cs="Times New Roman"/>
          <w:sz w:val="28"/>
          <w:szCs w:val="28"/>
        </w:rPr>
        <w:t xml:space="preserve">новую заявку (взамен отозванной) до окончания срока подачи таких заявок.</w:t>
      </w:r>
      <w:r>
        <w:rPr>
          <w:rFonts w:ascii="Times New Roman" w:hAnsi="Times New Roman" w:cs="Times New Roman"/>
          <w:sz w:val="28"/>
          <w:szCs w:val="28"/>
        </w:rPr>
      </w:r>
      <w:r/>
    </w:p>
    <w:p>
      <w:pPr>
        <w:pStyle w:val="965"/>
        <w:ind w:firstLine="540"/>
        <w:jc w:val="both"/>
      </w:pPr>
      <w:r>
        <w:rPr>
          <w:rFonts w:ascii="Times New Roman" w:hAnsi="Times New Roman" w:cs="Times New Roman"/>
          <w:sz w:val="28"/>
          <w:szCs w:val="28"/>
        </w:rPr>
        <w:t xml:space="preserve">Оператор электронной площадки в течение одного часа с момента отзыва заявки на участие в аукционе заявителем направляет в банк информацию о реквизитах специального счета такого заявителя в целях прекращения блокирования денежных средств в размере задатка.</w:t>
      </w:r>
      <w:r>
        <w:rPr>
          <w:rFonts w:ascii="Times New Roman" w:hAnsi="Times New Roman" w:cs="Times New Roman"/>
          <w:sz w:val="28"/>
          <w:szCs w:val="28"/>
        </w:rPr>
      </w:r>
      <w:r/>
    </w:p>
    <w:p>
      <w:pPr>
        <w:pStyle w:val="965"/>
        <w:ind w:firstLine="540"/>
        <w:jc w:val="both"/>
      </w:pPr>
      <w:r>
        <w:rPr>
          <w:rFonts w:ascii="Times New Roman" w:hAnsi="Times New Roman" w:cs="Times New Roman"/>
          <w:sz w:val="28"/>
          <w:szCs w:val="28"/>
        </w:rPr>
        <w:t xml:space="preserve">Банк не позднее одного часа с момента получения инфор</w:t>
      </w:r>
      <w:r>
        <w:rPr>
          <w:rFonts w:ascii="Times New Roman" w:hAnsi="Times New Roman" w:cs="Times New Roman"/>
          <w:sz w:val="28"/>
          <w:szCs w:val="28"/>
        </w:rPr>
        <w:t xml:space="preserve">мации от оператора электронной площадки прекращает блокирование денежных средств на специальном счете, реквизиты которого поступили от оператора электронной площадки, и направляет информацию о прекращении такого блокирования оператору электронной площадки.</w:t>
      </w:r>
      <w:r>
        <w:rPr>
          <w:rFonts w:ascii="Times New Roman" w:hAnsi="Times New Roman" w:cs="Times New Roman"/>
          <w:sz w:val="28"/>
          <w:szCs w:val="28"/>
        </w:rPr>
      </w:r>
      <w:r/>
    </w:p>
    <w:p>
      <w:pPr>
        <w:pStyle w:val="960"/>
        <w:ind w:left="0"/>
        <w:jc w:val="center"/>
        <w:spacing w:after="0" w:line="240" w:lineRule="auto"/>
        <w:tabs>
          <w:tab w:val="left" w:pos="720" w:leader="none"/>
        </w:tabs>
      </w:pPr>
      <w:r>
        <w:rPr>
          <w:rFonts w:ascii="Times New Roman" w:hAnsi="Times New Roman" w:eastAsia="Times New Roman" w:cs="Times New Roman"/>
          <w:b/>
          <w:bCs/>
          <w:sz w:val="28"/>
          <w:szCs w:val="28"/>
        </w:rPr>
      </w:r>
      <w:r>
        <w:rPr>
          <w:rFonts w:ascii="Times New Roman" w:hAnsi="Times New Roman" w:cs="Times New Roman"/>
          <w:b/>
          <w:bCs/>
          <w:sz w:val="28"/>
          <w:szCs w:val="28"/>
        </w:rPr>
      </w:r>
      <w:r/>
    </w:p>
    <w:p>
      <w:pPr>
        <w:pStyle w:val="960"/>
        <w:ind w:left="0"/>
        <w:jc w:val="center"/>
        <w:spacing w:after="0" w:line="240" w:lineRule="auto"/>
        <w:tabs>
          <w:tab w:val="left" w:pos="720" w:leader="none"/>
        </w:tabs>
      </w:pPr>
      <w:r>
        <w:rPr>
          <w:rFonts w:ascii="Times New Roman" w:hAnsi="Times New Roman" w:eastAsia="Times New Roman" w:cs="Times New Roman"/>
          <w:b/>
          <w:bCs/>
          <w:sz w:val="28"/>
          <w:szCs w:val="28"/>
        </w:rPr>
        <w:t xml:space="preserve">7. Порядок предоставления заявителям разъяснений положений документации об аукционе</w:t>
      </w:r>
      <w:r>
        <w:rPr>
          <w:rFonts w:ascii="Times New Roman" w:hAnsi="Times New Roman" w:eastAsia="Times New Roman" w:cs="Times New Roman"/>
          <w:b/>
          <w:bCs/>
          <w:sz w:val="28"/>
          <w:szCs w:val="28"/>
        </w:rPr>
        <w:t xml:space="preserve"> </w:t>
      </w:r>
      <w:r>
        <w:rPr>
          <w:rFonts w:ascii="Times New Roman" w:hAnsi="Times New Roman" w:cs="Times New Roman"/>
          <w:b/>
          <w:bCs/>
          <w:sz w:val="28"/>
          <w:szCs w:val="28"/>
        </w:rPr>
      </w:r>
      <w:r/>
    </w:p>
    <w:p>
      <w:pPr>
        <w:pStyle w:val="960"/>
        <w:ind w:left="0"/>
        <w:jc w:val="center"/>
        <w:spacing w:after="0" w:line="240" w:lineRule="auto"/>
        <w:tabs>
          <w:tab w:val="left" w:pos="720" w:leader="none"/>
        </w:tabs>
      </w:pPr>
      <w:r>
        <w:rPr>
          <w:rFonts w:ascii="Times New Roman" w:hAnsi="Times New Roman" w:eastAsia="Times New Roman" w:cs="Times New Roman"/>
          <w:b/>
          <w:bCs/>
          <w:sz w:val="28"/>
          <w:szCs w:val="28"/>
        </w:rPr>
      </w:r>
      <w:r>
        <w:rPr>
          <w:rFonts w:ascii="Times New Roman" w:hAnsi="Times New Roman" w:cs="Times New Roman"/>
          <w:b/>
          <w:bCs/>
          <w:sz w:val="28"/>
          <w:szCs w:val="28"/>
        </w:rPr>
      </w:r>
      <w:r/>
    </w:p>
    <w:p>
      <w:pPr>
        <w:pStyle w:val="965"/>
        <w:ind w:firstLine="540"/>
        <w:jc w:val="both"/>
      </w:pPr>
      <w:r>
        <w:rPr>
          <w:rFonts w:ascii="Times New Roman" w:hAnsi="Times New Roman" w:cs="Times New Roman"/>
          <w:sz w:val="28"/>
          <w:szCs w:val="28"/>
        </w:rPr>
        <w:tab/>
      </w:r>
      <w:r>
        <w:rPr>
          <w:rFonts w:ascii="Times New Roman" w:hAnsi="Times New Roman" w:cs="Times New Roman"/>
          <w:sz w:val="28"/>
          <w:szCs w:val="28"/>
        </w:rPr>
        <w:t xml:space="preserve">7.</w:t>
      </w:r>
      <w:r>
        <w:rPr>
          <w:rFonts w:ascii="Times New Roman" w:hAnsi="Times New Roman" w:cs="Times New Roman"/>
          <w:sz w:val="28"/>
          <w:szCs w:val="28"/>
        </w:rPr>
        <w:t xml:space="preserve">1. Заявитель, зарегистрированный на официальном сайте, вправе направить с использованием электронной площадки организатору аукцион</w:t>
      </w:r>
      <w:r>
        <w:rPr>
          <w:rFonts w:ascii="Times New Roman" w:hAnsi="Times New Roman" w:cs="Times New Roman"/>
          <w:sz w:val="28"/>
          <w:szCs w:val="28"/>
        </w:rPr>
        <w:t xml:space="preserve">а не более 3 запросов о разъяснении положений документации об аукционе. Не позднее одного часа с момента поступления такого запроса оператор электронной площадки направляет его с использованием электронной площадки организатору аукциона. В течение 2 рабочи</w:t>
      </w:r>
      <w:r>
        <w:rPr>
          <w:rFonts w:ascii="Times New Roman" w:hAnsi="Times New Roman" w:cs="Times New Roman"/>
          <w:sz w:val="28"/>
          <w:szCs w:val="28"/>
        </w:rPr>
        <w:t xml:space="preserve">х дней со дня поступления указанного запроса организатор аукциона формирует с использованием официального сайта, подписывает усиленной квалифицированной эл</w:t>
      </w:r>
      <w:r>
        <w:rPr>
          <w:rFonts w:ascii="Times New Roman" w:hAnsi="Times New Roman" w:cs="Times New Roman"/>
          <w:sz w:val="28"/>
          <w:szCs w:val="28"/>
        </w:rPr>
        <w:t xml:space="preserve">ектронной подписью лица, имеющего право действовать от имени организатора аукциона, и размещает на официальном сайте разъяснение положений документации об аукционе с указанием предмета запроса, но без указания заявителя, от которого поступил такой запрос. </w:t>
      </w:r>
      <w:r>
        <w:rPr>
          <w:rFonts w:ascii="Times New Roman" w:hAnsi="Times New Roman" w:cs="Times New Roman"/>
          <w:sz w:val="28"/>
          <w:szCs w:val="28"/>
        </w:rPr>
      </w:r>
      <w:r/>
    </w:p>
    <w:p>
      <w:pPr>
        <w:pStyle w:val="965"/>
        <w:ind w:firstLine="540"/>
        <w:jc w:val="both"/>
      </w:pPr>
      <w:r>
        <w:rPr>
          <w:rFonts w:ascii="Times New Roman" w:hAnsi="Times New Roman" w:cs="Times New Roman"/>
          <w:sz w:val="28"/>
          <w:szCs w:val="28"/>
        </w:rPr>
        <w:t xml:space="preserve">В течение рабочего дня со дня направления разъ</w:t>
      </w:r>
      <w:r>
        <w:rPr>
          <w:rFonts w:ascii="Times New Roman" w:hAnsi="Times New Roman" w:cs="Times New Roman"/>
          <w:sz w:val="28"/>
          <w:szCs w:val="28"/>
        </w:rPr>
        <w:t xml:space="preserve">яснения положений документации об аукционе по запросу заявителя такое разъяснение должно быть размещено организатором аукциона на официальном сайте и электронной площадке с указанием предмета запроса, но без указания заявителя, от которого поступил запрос.</w:t>
      </w:r>
      <w:r>
        <w:rPr>
          <w:rFonts w:ascii="Times New Roman" w:hAnsi="Times New Roman" w:cs="Times New Roman"/>
          <w:sz w:val="28"/>
          <w:szCs w:val="28"/>
          <w:highlight w:val="none"/>
        </w:rPr>
      </w:r>
      <w:r/>
    </w:p>
    <w:p>
      <w:pPr>
        <w:pStyle w:val="965"/>
        <w:ind w:firstLine="540"/>
        <w:jc w:val="both"/>
      </w:pPr>
      <w:r>
        <w:rPr>
          <w:rFonts w:ascii="Times New Roman" w:hAnsi="Times New Roman" w:cs="Times New Roman"/>
          <w:sz w:val="28"/>
          <w:szCs w:val="28"/>
          <w:highlight w:val="none"/>
        </w:rPr>
      </w:r>
      <w:r>
        <w:rPr>
          <w:rFonts w:ascii="Times New Roman" w:hAnsi="Times New Roman" w:cs="Times New Roman"/>
          <w:sz w:val="28"/>
          <w:szCs w:val="28"/>
        </w:rPr>
        <w:t xml:space="preserve">В течение одного часа с момента размещения указанного разъяснения на официальном сайте указанное разъяснение размещается оператором электронной площадки на электронной площадке.</w:t>
      </w:r>
      <w:r>
        <w:rPr>
          <w:rFonts w:ascii="Times New Roman" w:hAnsi="Times New Roman" w:cs="Times New Roman"/>
          <w:sz w:val="28"/>
          <w:szCs w:val="28"/>
        </w:rPr>
      </w:r>
      <w:r/>
    </w:p>
    <w:p>
      <w:pPr>
        <w:pStyle w:val="965"/>
        <w:ind w:firstLine="540"/>
        <w:jc w:val="center"/>
      </w:pPr>
      <w:r>
        <w:rPr>
          <w:rFonts w:ascii="Times New Roman" w:hAnsi="Times New Roman" w:cs="Times New Roman"/>
          <w:sz w:val="28"/>
          <w:szCs w:val="28"/>
        </w:rPr>
      </w:r>
      <w:r>
        <w:rPr>
          <w:rFonts w:ascii="Times New Roman" w:hAnsi="Times New Roman" w:cs="Times New Roman"/>
          <w:sz w:val="28"/>
          <w:szCs w:val="28"/>
        </w:rPr>
      </w:r>
      <w:r/>
    </w:p>
    <w:p>
      <w:pPr>
        <w:pStyle w:val="965"/>
        <w:ind w:firstLine="540"/>
        <w:jc w:val="center"/>
      </w:pPr>
      <w:r>
        <w:rPr>
          <w:rFonts w:ascii="Times New Roman" w:hAnsi="Times New Roman" w:cs="Times New Roman"/>
          <w:b/>
          <w:sz w:val="28"/>
          <w:szCs w:val="28"/>
        </w:rPr>
        <w:t xml:space="preserve">8. Порядок внесения изменений в документацию об аукционе и принятия решения об отмене проведения аукциона</w:t>
      </w:r>
      <w:r>
        <w:rPr>
          <w:rFonts w:ascii="Times New Roman" w:hAnsi="Times New Roman" w:cs="Times New Roman"/>
          <w:b/>
          <w:sz w:val="28"/>
          <w:szCs w:val="28"/>
        </w:rPr>
      </w:r>
      <w:r/>
    </w:p>
    <w:p>
      <w:pPr>
        <w:pStyle w:val="965"/>
        <w:ind w:firstLine="540"/>
        <w:jc w:val="both"/>
      </w:pPr>
      <w:r>
        <w:rPr>
          <w:rFonts w:ascii="Times New Roman" w:hAnsi="Times New Roman" w:cs="Times New Roman"/>
          <w:sz w:val="28"/>
          <w:szCs w:val="28"/>
        </w:rPr>
      </w:r>
      <w:r>
        <w:rPr>
          <w:rFonts w:ascii="Times New Roman" w:hAnsi="Times New Roman" w:cs="Times New Roman"/>
          <w:sz w:val="28"/>
          <w:szCs w:val="28"/>
        </w:rPr>
      </w:r>
      <w:r/>
    </w:p>
    <w:p>
      <w:pPr>
        <w:pStyle w:val="965"/>
        <w:ind w:firstLine="540"/>
        <w:jc w:val="both"/>
        <w:spacing w:before="0" w:beforeAutospacing="0"/>
      </w:pPr>
      <w:r>
        <w:rPr>
          <w:rFonts w:ascii="Times New Roman" w:hAnsi="Times New Roman" w:cs="Times New Roman"/>
          <w:sz w:val="28"/>
          <w:szCs w:val="28"/>
        </w:rPr>
        <w:t xml:space="preserve">8.1. Организатор аукциона вп</w:t>
      </w:r>
      <w:r>
        <w:rPr>
          <w:rFonts w:ascii="Times New Roman" w:hAnsi="Times New Roman" w:cs="Times New Roman"/>
          <w:sz w:val="28"/>
          <w:szCs w:val="28"/>
        </w:rPr>
        <w:t xml:space="preserve">раве принять решение о внесении изменений в извещение о проведении аукциона и (или) документацию об аукционе не позднее чем за 5 календарных дней до дня окончания срока подачи заявок на участие в аукционе. Изменение предмета аукциона (лота) не допускается.</w:t>
      </w:r>
      <w:r>
        <w:rPr>
          <w:rFonts w:ascii="Times New Roman" w:hAnsi="Times New Roman" w:cs="Times New Roman"/>
          <w:sz w:val="28"/>
          <w:szCs w:val="28"/>
        </w:rPr>
      </w:r>
      <w:r/>
    </w:p>
    <w:p>
      <w:pPr>
        <w:pStyle w:val="965"/>
        <w:ind w:firstLine="540"/>
        <w:jc w:val="both"/>
        <w:spacing w:before="0" w:beforeAutospacing="0"/>
      </w:pPr>
      <w:r>
        <w:rPr>
          <w:rFonts w:ascii="Times New Roman" w:hAnsi="Times New Roman" w:cs="Times New Roman"/>
          <w:sz w:val="28"/>
          <w:szCs w:val="28"/>
        </w:rPr>
        <w:t xml:space="preserve">Внесение изменений в извещение о проведении аукциона и (или) документацию об аукционе организатором аукциона осуществляется путем формирования с использованием официального сайта, </w:t>
      </w:r>
      <w:r>
        <w:rPr>
          <w:rFonts w:ascii="Times New Roman" w:hAnsi="Times New Roman" w:cs="Times New Roman"/>
          <w:sz w:val="28"/>
          <w:szCs w:val="28"/>
        </w:rPr>
        <w:t xml:space="preserve">подписания усиленной квалифицированной электронной подписью лица, имеющего право действовать от имени организатора аукциона, и размещения организатором аукциона на официальном сайте в день принятия указанного решения. При этом срок подачи заявок на участие</w:t>
      </w:r>
      <w:r>
        <w:rPr>
          <w:rFonts w:ascii="Times New Roman" w:hAnsi="Times New Roman" w:cs="Times New Roman"/>
          <w:sz w:val="28"/>
          <w:szCs w:val="28"/>
        </w:rPr>
        <w:t xml:space="preserve"> в аукционе должен быть продлен таким образом, чтобы между днем размещения на официальном сайте указанных изменений и днем окончания срока подачи заявок было не менее 10 календарных дней. В течение одного часа с момента размещения указанных изменений на оф</w:t>
      </w:r>
      <w:r>
        <w:rPr>
          <w:rFonts w:ascii="Times New Roman" w:hAnsi="Times New Roman" w:cs="Times New Roman"/>
          <w:sz w:val="28"/>
          <w:szCs w:val="28"/>
        </w:rPr>
        <w:t xml:space="preserve">ициальном сайте оператор электронной площадки размещает их на электронной площадке. Оператор электронной площадки обеспечивает уведомление заявителей, подавших заявки, о внесении изменений в извещение о проведении аукциона и (или) документацию об аукционе.</w:t>
      </w:r>
      <w:r>
        <w:rPr>
          <w:rFonts w:ascii="Times New Roman" w:hAnsi="Times New Roman" w:cs="Times New Roman"/>
          <w:sz w:val="28"/>
          <w:szCs w:val="28"/>
        </w:rPr>
      </w:r>
      <w:r/>
    </w:p>
    <w:p>
      <w:pPr>
        <w:pStyle w:val="965"/>
        <w:ind w:firstLine="540"/>
        <w:jc w:val="both"/>
        <w:spacing w:before="0" w:beforeAutospacing="0"/>
      </w:pPr>
      <w:r>
        <w:rPr>
          <w:rFonts w:ascii="Times New Roman" w:hAnsi="Times New Roman" w:cs="Times New Roman"/>
          <w:sz w:val="28"/>
          <w:szCs w:val="28"/>
        </w:rPr>
        <w:t xml:space="preserve">8.2. Организатор аукциона вправе принять решение об отмене проведения аукциона в сроки, установленные Гражданским </w:t>
      </w:r>
      <w:hyperlink r:id="rId22" w:tooltip="https://login.consultant.ru/link/?req=doc&amp;base=LAW&amp;n=482692" w:history="1">
        <w:r>
          <w:rPr>
            <w:rFonts w:ascii="Times New Roman" w:hAnsi="Times New Roman" w:cs="Times New Roman"/>
            <w:color w:val="auto"/>
            <w:sz w:val="28"/>
            <w:szCs w:val="28"/>
          </w:rPr>
          <w:t xml:space="preserve">кодексом</w:t>
        </w:r>
      </w:hyperlink>
      <w:r>
        <w:rPr>
          <w:rFonts w:ascii="Times New Roman" w:hAnsi="Times New Roman" w:cs="Times New Roman"/>
          <w:sz w:val="28"/>
          <w:szCs w:val="28"/>
        </w:rPr>
        <w:t xml:space="preserve"> Российской Федерации.</w:t>
      </w:r>
      <w:r>
        <w:rPr>
          <w:rFonts w:ascii="Times New Roman" w:hAnsi="Times New Roman" w:cs="Times New Roman"/>
          <w:sz w:val="28"/>
          <w:szCs w:val="28"/>
        </w:rPr>
      </w:r>
      <w:r/>
    </w:p>
    <w:p>
      <w:pPr>
        <w:pStyle w:val="965"/>
        <w:ind w:firstLine="540"/>
        <w:jc w:val="both"/>
        <w:spacing w:before="0" w:beforeAutospacing="0"/>
      </w:pPr>
      <w:r>
        <w:rPr>
          <w:rFonts w:ascii="Times New Roman" w:hAnsi="Times New Roman" w:cs="Times New Roman"/>
          <w:sz w:val="28"/>
          <w:szCs w:val="28"/>
        </w:rPr>
        <w:t xml:space="preserve">Извещение об отмене проведени</w:t>
      </w:r>
      <w:r>
        <w:rPr>
          <w:rFonts w:ascii="Times New Roman" w:hAnsi="Times New Roman" w:cs="Times New Roman"/>
          <w:sz w:val="28"/>
          <w:szCs w:val="28"/>
        </w:rPr>
        <w:t xml:space="preserve">я аукциона формируется организатором аукциона с использованием официального сайта, подписывается усиленной квалифицированной электронной подписью лица, имеющего право действовать от имени организатора аукциона, и размещается организатором аукциона на офици</w:t>
      </w:r>
      <w:r>
        <w:rPr>
          <w:rFonts w:ascii="Times New Roman" w:hAnsi="Times New Roman" w:cs="Times New Roman"/>
          <w:sz w:val="28"/>
          <w:szCs w:val="28"/>
        </w:rPr>
        <w:t xml:space="preserve">альном сайте в день принятия решения об отмене проведения аукциона. В течение одного часа с момента размещения извещения об отмене проведения аукциона на официальном сайте оператор электронной площадки размещает указанное извещение на электронной площадке.</w:t>
      </w:r>
      <w:r>
        <w:rPr>
          <w:rFonts w:ascii="Times New Roman" w:hAnsi="Times New Roman" w:cs="Times New Roman"/>
          <w:sz w:val="28"/>
          <w:szCs w:val="28"/>
        </w:rPr>
      </w:r>
      <w:r/>
    </w:p>
    <w:p>
      <w:pPr>
        <w:pStyle w:val="965"/>
        <w:ind w:firstLine="540"/>
        <w:jc w:val="both"/>
        <w:spacing w:before="0" w:beforeAutospacing="0"/>
      </w:pPr>
      <w:r>
        <w:rPr>
          <w:rFonts w:ascii="Times New Roman" w:hAnsi="Times New Roman" w:cs="Times New Roman"/>
          <w:sz w:val="28"/>
          <w:szCs w:val="28"/>
        </w:rPr>
        <w:t xml:space="preserve">Оператор электронной площадки обеспечивает уведомление заявителей, подавших заявки на участие в аукционе, об отмене аукциона.</w:t>
      </w:r>
      <w:r>
        <w:rPr>
          <w:rFonts w:ascii="Times New Roman" w:hAnsi="Times New Roman" w:cs="Times New Roman"/>
          <w:sz w:val="28"/>
          <w:szCs w:val="28"/>
        </w:rPr>
      </w:r>
      <w:r/>
    </w:p>
    <w:p>
      <w:pPr>
        <w:pStyle w:val="965"/>
        <w:ind w:firstLine="540"/>
        <w:jc w:val="both"/>
        <w:spacing w:before="0" w:beforeAutospacing="0"/>
      </w:pPr>
      <w:r>
        <w:rPr>
          <w:rFonts w:ascii="Times New Roman" w:hAnsi="Times New Roman" w:cs="Times New Roman"/>
          <w:sz w:val="28"/>
          <w:szCs w:val="28"/>
        </w:rPr>
        <w:t xml:space="preserve">Оператор электронной площадки в течение одного часа с момента размещения о</w:t>
      </w:r>
      <w:r>
        <w:rPr>
          <w:rFonts w:ascii="Times New Roman" w:hAnsi="Times New Roman" w:cs="Times New Roman"/>
          <w:sz w:val="28"/>
          <w:szCs w:val="28"/>
        </w:rPr>
        <w:t xml:space="preserve">рганизатором аукциона решения об отмене проведения аукциона направляет в банк информацию о реквизитах специальных счетов всех заявителей, подавших заявки на участие в аукционе, в целях прекращения блокирования денежных средств заявителей в размере задатка.</w:t>
      </w:r>
      <w:r>
        <w:rPr>
          <w:rFonts w:ascii="Times New Roman" w:hAnsi="Times New Roman" w:cs="Times New Roman"/>
          <w:sz w:val="28"/>
          <w:szCs w:val="28"/>
        </w:rPr>
      </w:r>
      <w:r/>
    </w:p>
    <w:p>
      <w:pPr>
        <w:pStyle w:val="965"/>
        <w:ind w:firstLine="540"/>
        <w:jc w:val="both"/>
        <w:spacing w:before="0" w:beforeAutospacing="0"/>
      </w:pPr>
      <w:r>
        <w:rPr>
          <w:rFonts w:ascii="Times New Roman" w:hAnsi="Times New Roman" w:cs="Times New Roman"/>
          <w:sz w:val="28"/>
          <w:szCs w:val="28"/>
        </w:rPr>
        <w:t xml:space="preserve">Банк не позднее одного часа с момента получения от оператора электронной площадки </w:t>
      </w:r>
      <w:r>
        <w:rPr>
          <w:rFonts w:ascii="Times New Roman" w:hAnsi="Times New Roman" w:cs="Times New Roman"/>
          <w:sz w:val="28"/>
          <w:szCs w:val="28"/>
        </w:rPr>
        <w:t xml:space="preserve">и</w:t>
      </w:r>
      <w:r>
        <w:rPr>
          <w:rFonts w:ascii="Times New Roman" w:hAnsi="Times New Roman" w:cs="Times New Roman"/>
          <w:sz w:val="28"/>
          <w:szCs w:val="28"/>
        </w:rPr>
        <w:t xml:space="preserve">нформации об отмене проведения аукциона прекращает блокирование денежных средств на специальном счете, реквизиты которого поступили от оператора электронной площадки, и направляет информацию о прекращении такого блокирования оператору электронной площадки.</w:t>
      </w:r>
      <w:r>
        <w:rPr>
          <w:rFonts w:ascii="Times New Roman" w:hAnsi="Times New Roman" w:cs="Times New Roman"/>
          <w:sz w:val="28"/>
          <w:szCs w:val="28"/>
        </w:rPr>
      </w:r>
      <w:r/>
    </w:p>
    <w:p>
      <w:pPr>
        <w:pStyle w:val="965"/>
        <w:ind w:firstLine="539"/>
        <w:jc w:val="both"/>
      </w:pPr>
      <w:r>
        <w:rPr>
          <w:rFonts w:ascii="Times New Roman" w:hAnsi="Times New Roman" w:cs="Times New Roman"/>
          <w:sz w:val="28"/>
          <w:szCs w:val="28"/>
        </w:rPr>
      </w:r>
      <w:r>
        <w:rPr>
          <w:rFonts w:ascii="Times New Roman" w:hAnsi="Times New Roman" w:cs="Times New Roman"/>
          <w:sz w:val="28"/>
          <w:szCs w:val="28"/>
        </w:rPr>
      </w:r>
      <w:r/>
    </w:p>
    <w:p>
      <w:pPr>
        <w:jc w:val="center"/>
        <w:keepLines/>
        <w:keepNext/>
        <w:widowControl w:val="off"/>
        <w:suppressLineNumbers/>
      </w:pPr>
      <w:r>
        <w:rPr>
          <w:rFonts w:ascii="Times New Roman" w:hAnsi="Times New Roman" w:eastAsia="Times New Roman" w:cs="Times New Roman"/>
          <w:b/>
          <w:bCs/>
          <w:sz w:val="28"/>
          <w:szCs w:val="28"/>
        </w:rPr>
        <w:t xml:space="preserve">9</w:t>
      </w:r>
      <w:r>
        <w:rPr>
          <w:rFonts w:ascii="Times New Roman" w:hAnsi="Times New Roman" w:eastAsia="Times New Roman" w:cs="Times New Roman"/>
          <w:b/>
          <w:bCs/>
          <w:sz w:val="28"/>
          <w:szCs w:val="28"/>
        </w:rPr>
        <w:t xml:space="preserve">. </w:t>
      </w:r>
      <w:r>
        <w:rPr>
          <w:rFonts w:ascii="Times New Roman" w:hAnsi="Times New Roman" w:eastAsia="Times New Roman" w:cs="Times New Roman"/>
          <w:b/>
          <w:bCs/>
          <w:sz w:val="28"/>
          <w:szCs w:val="28"/>
        </w:rPr>
        <w:t xml:space="preserve">Сроки</w:t>
      </w:r>
      <w:r>
        <w:rPr>
          <w:rFonts w:ascii="Times New Roman" w:hAnsi="Times New Roman" w:eastAsia="Times New Roman" w:cs="Times New Roman"/>
          <w:b/>
          <w:bCs/>
          <w:sz w:val="28"/>
          <w:szCs w:val="28"/>
        </w:rPr>
        <w:t xml:space="preserve"> рассмотрения заявок на участие в аукционе</w:t>
      </w:r>
      <w:r>
        <w:rPr>
          <w:rFonts w:ascii="Times New Roman" w:hAnsi="Times New Roman" w:eastAsia="Times New Roman" w:cs="Times New Roman"/>
          <w:b/>
          <w:bCs/>
          <w:sz w:val="28"/>
          <w:szCs w:val="28"/>
        </w:rPr>
        <w:t xml:space="preserve"> в электронной форме</w:t>
      </w:r>
      <w:r>
        <w:rPr>
          <w:rFonts w:ascii="Times New Roman" w:hAnsi="Times New Roman" w:cs="Times New Roman"/>
          <w:b/>
          <w:bCs/>
          <w:sz w:val="28"/>
          <w:szCs w:val="28"/>
        </w:rPr>
      </w:r>
      <w:r/>
    </w:p>
    <w:p>
      <w:pPr>
        <w:jc w:val="center"/>
        <w:keepLines/>
        <w:keepNext/>
        <w:widowControl w:val="off"/>
        <w:suppressLineNumbers/>
      </w:pPr>
      <w:r>
        <w:rPr>
          <w:rFonts w:ascii="Times New Roman" w:hAnsi="Times New Roman" w:eastAsia="Times New Roman" w:cs="Times New Roman"/>
          <w:b/>
          <w:bCs/>
          <w:sz w:val="28"/>
          <w:szCs w:val="28"/>
        </w:rPr>
      </w:r>
      <w:r>
        <w:rPr>
          <w:rFonts w:ascii="Times New Roman" w:hAnsi="Times New Roman" w:cs="Times New Roman"/>
          <w:b/>
          <w:bCs/>
          <w:sz w:val="28"/>
          <w:szCs w:val="28"/>
        </w:rPr>
      </w:r>
      <w:r/>
    </w:p>
    <w:p>
      <w:pPr>
        <w:ind w:firstLine="720"/>
        <w:tabs>
          <w:tab w:val="left" w:pos="5387" w:leader="none"/>
        </w:tabs>
      </w:pPr>
      <w:r>
        <w:rPr>
          <w:rFonts w:ascii="Times New Roman" w:hAnsi="Times New Roman" w:eastAsia="Times New Roman" w:cs="Times New Roman"/>
          <w:bCs/>
          <w:sz w:val="28"/>
          <w:szCs w:val="28"/>
        </w:rPr>
        <w:t xml:space="preserve">9</w:t>
      </w:r>
      <w:r>
        <w:rPr>
          <w:rFonts w:ascii="Times New Roman" w:hAnsi="Times New Roman" w:eastAsia="Times New Roman" w:cs="Times New Roman"/>
          <w:bCs/>
          <w:sz w:val="28"/>
          <w:szCs w:val="28"/>
        </w:rPr>
        <w:t xml:space="preserve">.1</w:t>
      </w:r>
      <w:r>
        <w:rPr>
          <w:rFonts w:ascii="Times New Roman" w:hAnsi="Times New Roman" w:eastAsia="Times New Roman" w:cs="Times New Roman"/>
          <w:bCs/>
          <w:sz w:val="28"/>
          <w:szCs w:val="28"/>
        </w:rPr>
        <w:t xml:space="preserve">.</w:t>
      </w:r>
      <w:r>
        <w:rPr>
          <w:rFonts w:ascii="Times New Roman" w:hAnsi="Times New Roman" w:eastAsia="Times New Roman" w:cs="Times New Roman"/>
          <w:bCs/>
          <w:sz w:val="28"/>
          <w:szCs w:val="28"/>
        </w:rPr>
        <w:t xml:space="preserve"> Начало рассмотрения заявок на участие в аукционе осуществляется </w:t>
      </w:r>
      <w:r>
        <w:rPr>
          <w:rFonts w:ascii="Times New Roman" w:hAnsi="Times New Roman" w:eastAsia="Times New Roman" w:cs="Times New Roman"/>
          <w:sz w:val="28"/>
          <w:szCs w:val="28"/>
        </w:rPr>
        <w:t xml:space="preserve">Комиссией организатора аукциона </w:t>
      </w:r>
      <w:r>
        <w:rPr>
          <w:rFonts w:ascii="Times New Roman" w:hAnsi="Times New Roman" w:eastAsia="Times New Roman" w:cs="Times New Roman"/>
          <w:bCs/>
          <w:sz w:val="28"/>
          <w:szCs w:val="28"/>
        </w:rPr>
        <w:t xml:space="preserve">по адресу организатора </w:t>
      </w:r>
      <w:r>
        <w:rPr>
          <w:rFonts w:ascii="Times New Roman" w:hAnsi="Times New Roman" w:eastAsia="Times New Roman" w:cs="Times New Roman"/>
          <w:bCs/>
          <w:sz w:val="28"/>
          <w:szCs w:val="28"/>
        </w:rPr>
        <w:t xml:space="preserve">аукциона:</w:t>
      </w:r>
      <w:r>
        <w:rPr>
          <w:rFonts w:ascii="Times New Roman" w:hAnsi="Times New Roman" w:eastAsia="Times New Roman" w:cs="Times New Roman"/>
          <w:bCs/>
          <w:sz w:val="28"/>
          <w:szCs w:val="28"/>
        </w:rPr>
        <w:t xml:space="preserve"> г. </w:t>
      </w:r>
      <w:r>
        <w:rPr>
          <w:rFonts w:ascii="Times New Roman" w:hAnsi="Times New Roman" w:eastAsia="Times New Roman" w:cs="Times New Roman"/>
          <w:bCs/>
          <w:sz w:val="28"/>
          <w:szCs w:val="28"/>
        </w:rPr>
        <w:t xml:space="preserve">Москва, Рождественский бульвар, д. 12/8</w:t>
      </w:r>
      <w:r>
        <w:rPr>
          <w:rFonts w:ascii="Times New Roman" w:hAnsi="Times New Roman" w:eastAsia="Times New Roman" w:cs="Times New Roman"/>
          <w:bCs/>
          <w:sz w:val="28"/>
          <w:szCs w:val="28"/>
        </w:rPr>
        <w:t xml:space="preserve">,</w:t>
      </w:r>
      <w:r>
        <w:rPr>
          <w:rFonts w:ascii="Times New Roman" w:hAnsi="Times New Roman" w:eastAsia="Times New Roman" w:cs="Times New Roman"/>
          <w:bCs/>
          <w:sz w:val="28"/>
          <w:szCs w:val="28"/>
        </w:rPr>
        <w:t xml:space="preserve"> стр. 1.</w:t>
      </w:r>
      <w:r>
        <w:rPr>
          <w:rFonts w:ascii="Times New Roman" w:hAnsi="Times New Roman" w:cs="Times New Roman"/>
          <w:bCs/>
          <w:sz w:val="28"/>
          <w:szCs w:val="28"/>
        </w:rPr>
      </w:r>
      <w:r/>
    </w:p>
    <w:p>
      <w:pPr>
        <w:ind w:firstLine="709"/>
        <w:keepLines/>
        <w:keepNext/>
        <w:widowControl w:val="off"/>
        <w:suppressLineNumbers/>
      </w:pPr>
      <w:r>
        <w:rPr>
          <w:rFonts w:ascii="Times New Roman" w:hAnsi="Times New Roman" w:eastAsia="Times New Roman" w:cs="Times New Roman"/>
          <w:sz w:val="28"/>
          <w:szCs w:val="28"/>
        </w:rPr>
        <w:t xml:space="preserve">Дата начала рассмотрения заявок:</w:t>
      </w:r>
      <w:r>
        <w:rPr>
          <w:rFonts w:ascii="Times New Roman" w:hAnsi="Times New Roman" w:cs="Times New Roman"/>
          <w:sz w:val="28"/>
          <w:szCs w:val="28"/>
        </w:rPr>
      </w:r>
      <w:r/>
    </w:p>
    <w:p>
      <w:pPr>
        <w:ind w:firstLine="709"/>
        <w:keepLines/>
        <w:keepNext/>
        <w:widowControl w:val="off"/>
        <w:suppressLineNumbers/>
      </w:pPr>
      <w:r>
        <w:rPr>
          <w:rFonts w:ascii="Times New Roman" w:hAnsi="Times New Roman" w:eastAsia="Times New Roman" w:cs="Times New Roman"/>
          <w:sz w:val="28"/>
          <w:szCs w:val="28"/>
        </w:rPr>
        <w:t xml:space="preserve">«</w:t>
      </w:r>
      <w:r>
        <w:rPr>
          <w:rFonts w:ascii="Times New Roman" w:hAnsi="Times New Roman" w:eastAsia="Times New Roman" w:cs="Times New Roman"/>
          <w:sz w:val="28"/>
          <w:szCs w:val="28"/>
        </w:rPr>
        <w:t xml:space="preserve">16» </w:t>
      </w:r>
      <w:r>
        <w:rPr>
          <w:rFonts w:ascii="Times New Roman" w:hAnsi="Times New Roman" w:eastAsia="Times New Roman" w:cs="Times New Roman"/>
          <w:sz w:val="28"/>
          <w:szCs w:val="28"/>
        </w:rPr>
        <w:t xml:space="preserve">мая 2025</w:t>
      </w:r>
      <w:r>
        <w:rPr>
          <w:rFonts w:ascii="Times New Roman" w:hAnsi="Times New Roman" w:eastAsia="Times New Roman" w:cs="Times New Roman"/>
          <w:sz w:val="28"/>
          <w:szCs w:val="28"/>
        </w:rPr>
        <w:t xml:space="preserve"> г.</w:t>
      </w:r>
      <w:r>
        <w:rPr>
          <w:rFonts w:ascii="Times New Roman" w:hAnsi="Times New Roman" w:eastAsia="Times New Roman" w:cs="Times New Roman"/>
          <w:sz w:val="28"/>
          <w:szCs w:val="28"/>
        </w:rPr>
        <w:t xml:space="preserve"> </w:t>
      </w:r>
      <w:r>
        <w:rPr>
          <w:rFonts w:ascii="Times New Roman" w:hAnsi="Times New Roman" w:cs="Times New Roman"/>
          <w:sz w:val="28"/>
          <w:szCs w:val="28"/>
        </w:rPr>
      </w:r>
      <w:r/>
    </w:p>
    <w:p>
      <w:pPr>
        <w:ind w:firstLine="709"/>
        <w:keepLines/>
        <w:keepNext/>
        <w:widowControl w:val="off"/>
        <w:suppressLineNumbers/>
      </w:pPr>
      <w:r>
        <w:rPr>
          <w:rFonts w:ascii="Times New Roman" w:hAnsi="Times New Roman" w:eastAsia="Times New Roman" w:cs="Times New Roman"/>
          <w:sz w:val="28"/>
          <w:szCs w:val="28"/>
        </w:rPr>
        <w:t xml:space="preserve">Дата окончания рассмотрения заявок:</w:t>
      </w:r>
      <w:r>
        <w:rPr>
          <w:rFonts w:ascii="Times New Roman" w:hAnsi="Times New Roman" w:cs="Times New Roman"/>
          <w:sz w:val="28"/>
          <w:szCs w:val="28"/>
        </w:rPr>
      </w:r>
      <w:r/>
    </w:p>
    <w:p>
      <w:pPr>
        <w:ind w:firstLine="709"/>
        <w:keepLines/>
        <w:keepNext/>
        <w:widowControl w:val="off"/>
        <w:suppressLineNumbers/>
      </w:pPr>
      <w:r>
        <w:rPr>
          <w:rFonts w:ascii="Times New Roman" w:hAnsi="Times New Roman" w:eastAsia="Times New Roman" w:cs="Times New Roman"/>
          <w:sz w:val="28"/>
          <w:szCs w:val="28"/>
        </w:rPr>
        <w:t xml:space="preserve">«</w:t>
      </w:r>
      <w:r>
        <w:rPr>
          <w:rFonts w:ascii="Times New Roman" w:hAnsi="Times New Roman" w:eastAsia="Times New Roman" w:cs="Times New Roman"/>
          <w:sz w:val="28"/>
          <w:szCs w:val="28"/>
        </w:rPr>
        <w:t xml:space="preserve">20» </w:t>
      </w:r>
      <w:r>
        <w:rPr>
          <w:rFonts w:ascii="Times New Roman" w:hAnsi="Times New Roman" w:eastAsia="Times New Roman" w:cs="Times New Roman"/>
          <w:sz w:val="28"/>
          <w:szCs w:val="28"/>
        </w:rPr>
        <w:t xml:space="preserve">мая 2025</w:t>
      </w:r>
      <w:r>
        <w:rPr>
          <w:rFonts w:ascii="Times New Roman" w:hAnsi="Times New Roman" w:eastAsia="Times New Roman" w:cs="Times New Roman"/>
          <w:sz w:val="28"/>
          <w:szCs w:val="28"/>
        </w:rPr>
        <w:t xml:space="preserve"> г. </w:t>
      </w:r>
      <w:r>
        <w:rPr>
          <w:rFonts w:ascii="Times New Roman" w:hAnsi="Times New Roman" w:eastAsia="Times New Roman" w:cs="Times New Roman"/>
          <w:sz w:val="28"/>
          <w:szCs w:val="28"/>
        </w:rPr>
        <w:t xml:space="preserve"> </w:t>
      </w:r>
      <w:r>
        <w:rPr>
          <w:rFonts w:ascii="Times New Roman" w:hAnsi="Times New Roman" w:cs="Times New Roman"/>
          <w:sz w:val="28"/>
          <w:szCs w:val="28"/>
        </w:rPr>
      </w:r>
      <w:r/>
    </w:p>
    <w:p>
      <w:pPr>
        <w:pStyle w:val="968"/>
        <w:tabs>
          <w:tab w:val="clear" w:pos="0" w:leader="none"/>
          <w:tab w:val="left" w:pos="708" w:leader="none"/>
        </w:tabs>
      </w:pPr>
      <w:r>
        <w:rPr>
          <w:rFonts w:ascii="Times New Roman" w:hAnsi="Times New Roman" w:cs="Times New Roman"/>
          <w:b/>
          <w:bCs/>
          <w:iCs/>
          <w:sz w:val="28"/>
          <w:szCs w:val="28"/>
        </w:rPr>
      </w:r>
      <w:r>
        <w:rPr>
          <w:rFonts w:ascii="Times New Roman" w:hAnsi="Times New Roman" w:cs="Times New Roman"/>
          <w:b/>
          <w:bCs/>
          <w:iCs/>
          <w:sz w:val="28"/>
          <w:szCs w:val="28"/>
        </w:rPr>
      </w:r>
      <w:r/>
    </w:p>
    <w:p>
      <w:pPr>
        <w:pStyle w:val="968"/>
        <w:jc w:val="center"/>
        <w:tabs>
          <w:tab w:val="clear" w:pos="0" w:leader="none"/>
          <w:tab w:val="left" w:pos="708" w:leader="none"/>
        </w:tabs>
      </w:pPr>
      <w:r>
        <w:rPr>
          <w:rFonts w:ascii="Times New Roman" w:hAnsi="Times New Roman" w:cs="Times New Roman"/>
          <w:b/>
          <w:bCs/>
          <w:iCs/>
          <w:sz w:val="28"/>
          <w:szCs w:val="28"/>
        </w:rPr>
        <w:t xml:space="preserve">10</w:t>
      </w:r>
      <w:r>
        <w:rPr>
          <w:rFonts w:ascii="Times New Roman" w:hAnsi="Times New Roman" w:cs="Times New Roman"/>
          <w:b/>
          <w:bCs/>
          <w:iCs/>
          <w:sz w:val="28"/>
          <w:szCs w:val="28"/>
        </w:rPr>
        <w:t xml:space="preserve">. Условия допуска к участию в аукционе</w:t>
      </w:r>
      <w:r>
        <w:rPr>
          <w:rFonts w:ascii="Times New Roman" w:hAnsi="Times New Roman" w:cs="Times New Roman"/>
          <w:b/>
          <w:bCs/>
          <w:iCs/>
          <w:sz w:val="28"/>
          <w:szCs w:val="28"/>
        </w:rPr>
        <w:t xml:space="preserve"> </w:t>
      </w:r>
      <w:r>
        <w:rPr>
          <w:rFonts w:ascii="Times New Roman" w:hAnsi="Times New Roman" w:cs="Times New Roman"/>
          <w:b/>
          <w:bCs/>
          <w:iCs/>
          <w:sz w:val="28"/>
          <w:szCs w:val="28"/>
        </w:rPr>
      </w:r>
      <w:r/>
    </w:p>
    <w:p>
      <w:pPr>
        <w:pStyle w:val="968"/>
        <w:jc w:val="center"/>
        <w:tabs>
          <w:tab w:val="clear" w:pos="0" w:leader="none"/>
          <w:tab w:val="left" w:pos="708" w:leader="none"/>
        </w:tabs>
      </w:pPr>
      <w:r>
        <w:rPr>
          <w:rFonts w:ascii="Times New Roman" w:hAnsi="Times New Roman" w:cs="Times New Roman"/>
          <w:b/>
          <w:bCs/>
          <w:iCs/>
          <w:sz w:val="28"/>
          <w:szCs w:val="28"/>
        </w:rPr>
      </w:r>
      <w:r>
        <w:rPr>
          <w:rFonts w:ascii="Times New Roman" w:hAnsi="Times New Roman" w:cs="Times New Roman"/>
          <w:b/>
          <w:bCs/>
          <w:iCs/>
          <w:sz w:val="28"/>
          <w:szCs w:val="28"/>
        </w:rPr>
      </w:r>
      <w:r/>
    </w:p>
    <w:p>
      <w:pPr>
        <w:pStyle w:val="965"/>
        <w:ind w:firstLine="540"/>
        <w:jc w:val="both"/>
      </w:pPr>
      <w:r>
        <w:rPr>
          <w:rFonts w:ascii="Times New Roman" w:hAnsi="Times New Roman" w:cs="Times New Roman"/>
          <w:sz w:val="28"/>
          <w:szCs w:val="28"/>
        </w:rPr>
      </w:r>
      <w:bookmarkStart w:id="0" w:name="undefined"/>
      <w:r>
        <w:rPr>
          <w:rFonts w:ascii="Times New Roman" w:hAnsi="Times New Roman" w:cs="Times New Roman"/>
          <w:sz w:val="28"/>
          <w:szCs w:val="28"/>
        </w:rPr>
      </w:r>
      <w:bookmarkEnd w:id="0"/>
      <w:r>
        <w:rPr>
          <w:rFonts w:ascii="Times New Roman" w:hAnsi="Times New Roman" w:cs="Times New Roman"/>
          <w:sz w:val="28"/>
          <w:szCs w:val="28"/>
        </w:rPr>
        <w:t xml:space="preserve">10.1</w:t>
      </w:r>
      <w:r>
        <w:rPr>
          <w:rFonts w:ascii="Times New Roman" w:hAnsi="Times New Roman" w:cs="Times New Roman"/>
          <w:sz w:val="28"/>
          <w:szCs w:val="28"/>
        </w:rPr>
        <w:t xml:space="preserve">. Комиссия </w:t>
      </w:r>
      <w:r>
        <w:rPr>
          <w:rFonts w:ascii="Times New Roman" w:hAnsi="Times New Roman" w:cs="Times New Roman"/>
          <w:sz w:val="28"/>
          <w:szCs w:val="28"/>
        </w:rPr>
        <w:t xml:space="preserve">организатора аукциона</w:t>
      </w:r>
      <w:r>
        <w:rPr>
          <w:rFonts w:ascii="Times New Roman" w:hAnsi="Times New Roman" w:cs="Times New Roman"/>
          <w:sz w:val="28"/>
          <w:szCs w:val="28"/>
        </w:rPr>
        <w:t xml:space="preserve"> по проведению аукциона  (далее – Комиссия) рассматривает заявки на участие в аукционе на соответствие требованиям, установленным документацией об аукционе, а также на соответствие заявителей требованиям, установленным </w:t>
      </w:r>
      <w:hyperlink w:tooltip="#P164" w:anchor="P164" w:history="1">
        <w:r>
          <w:rPr>
            <w:rFonts w:ascii="Times New Roman" w:hAnsi="Times New Roman" w:cs="Times New Roman"/>
            <w:sz w:val="28"/>
            <w:szCs w:val="28"/>
          </w:rPr>
          <w:t xml:space="preserve">подпунктом </w:t>
        </w:r>
      </w:hyperlink>
      <w:r>
        <w:rPr>
          <w:rFonts w:ascii="Times New Roman" w:hAnsi="Times New Roman" w:cs="Times New Roman"/>
          <w:sz w:val="28"/>
          <w:szCs w:val="28"/>
        </w:rPr>
        <w:t xml:space="preserve">«</w:t>
      </w:r>
      <w:hyperlink w:tooltip="#P166" w:anchor="P166" w:history="1">
        <w:r>
          <w:rPr>
            <w:rFonts w:ascii="Times New Roman" w:hAnsi="Times New Roman" w:cs="Times New Roman"/>
            <w:sz w:val="28"/>
            <w:szCs w:val="28"/>
          </w:rPr>
          <w:t xml:space="preserve">д» пункта 2.1</w:t>
        </w:r>
      </w:hyperlink>
      <w:r>
        <w:rPr>
          <w:rFonts w:ascii="Times New Roman" w:hAnsi="Times New Roman" w:cs="Times New Roman"/>
          <w:sz w:val="28"/>
          <w:szCs w:val="28"/>
        </w:rPr>
        <w:t xml:space="preserve">. Документации об аукционе.</w:t>
      </w:r>
      <w:r>
        <w:rPr>
          <w:rFonts w:ascii="Times New Roman" w:hAnsi="Times New Roman" w:cs="Times New Roman"/>
          <w:sz w:val="28"/>
          <w:szCs w:val="28"/>
        </w:rPr>
      </w:r>
      <w:r/>
    </w:p>
    <w:p>
      <w:pPr>
        <w:pStyle w:val="965"/>
        <w:ind w:firstLine="540"/>
        <w:jc w:val="both"/>
      </w:pPr>
      <w:r>
        <w:rPr>
          <w:rFonts w:ascii="Times New Roman" w:hAnsi="Times New Roman" w:cs="Times New Roman"/>
          <w:sz w:val="28"/>
          <w:szCs w:val="28"/>
        </w:rPr>
        <w:t xml:space="preserve">10.2</w:t>
      </w:r>
      <w:r>
        <w:rPr>
          <w:rFonts w:ascii="Times New Roman" w:hAnsi="Times New Roman" w:cs="Times New Roman"/>
          <w:sz w:val="28"/>
          <w:szCs w:val="28"/>
        </w:rPr>
        <w:t xml:space="preserve">. В случае если в заявке указано, что над заявителем установлен контроль иностранного инвестора или группы лиц, в которую входит иностранный инвестор, в порядке, предусмотренном </w:t>
      </w:r>
      <w:r>
        <w:rPr>
          <w:rFonts w:ascii="Times New Roman" w:hAnsi="Times New Roman" w:cs="Times New Roman"/>
          <w:sz w:val="28"/>
          <w:szCs w:val="28"/>
        </w:rPr>
        <w:t xml:space="preserve">Законом о</w:t>
      </w:r>
      <w:r>
        <w:rPr>
          <w:rFonts w:ascii="Times New Roman" w:hAnsi="Times New Roman" w:cs="Times New Roman"/>
          <w:sz w:val="28"/>
          <w:szCs w:val="28"/>
        </w:rPr>
        <w:t xml:space="preserve"> порядке осуще</w:t>
      </w:r>
      <w:r>
        <w:rPr>
          <w:rFonts w:ascii="Times New Roman" w:hAnsi="Times New Roman" w:cs="Times New Roman"/>
          <w:sz w:val="28"/>
          <w:szCs w:val="28"/>
        </w:rPr>
        <w:t xml:space="preserve">ствления иностранных инвестиций</w:t>
      </w:r>
      <w:r>
        <w:rPr>
          <w:rFonts w:ascii="Times New Roman" w:hAnsi="Times New Roman" w:cs="Times New Roman"/>
          <w:sz w:val="28"/>
          <w:szCs w:val="28"/>
        </w:rPr>
        <w:t xml:space="preserve">, Комиссия в течение одного рабочего дня со дня получения заявок от оператора электронной площадки обращается </w:t>
      </w:r>
      <w:r>
        <w:rPr>
          <w:rFonts w:ascii="Times New Roman" w:hAnsi="Times New Roman" w:cs="Times New Roman"/>
          <w:sz w:val="28"/>
          <w:szCs w:val="28"/>
        </w:rPr>
        <w:br/>
      </w:r>
      <w:r>
        <w:rPr>
          <w:rFonts w:ascii="Times New Roman" w:hAnsi="Times New Roman" w:cs="Times New Roman"/>
          <w:sz w:val="28"/>
          <w:szCs w:val="28"/>
        </w:rPr>
        <w:t xml:space="preserve">к организатору аукциона, который запрашивает у Федеральной антимонопольной службы посредством межведомственного запроса, в том числе в электронной форме с использо</w:t>
      </w:r>
      <w:r>
        <w:rPr>
          <w:rFonts w:ascii="Times New Roman" w:hAnsi="Times New Roman" w:cs="Times New Roman"/>
          <w:sz w:val="28"/>
          <w:szCs w:val="28"/>
        </w:rPr>
        <w:t xml:space="preserve">ванием единой системы межведомственного электронного взаимодействия, копию решения Федеральной антимонопольной службы, оформленного на основании решения Правительственной комиссии.</w:t>
      </w:r>
      <w:r>
        <w:rPr>
          <w:rFonts w:ascii="Times New Roman" w:hAnsi="Times New Roman" w:cs="Times New Roman"/>
          <w:sz w:val="28"/>
          <w:szCs w:val="28"/>
        </w:rPr>
      </w:r>
      <w:r/>
    </w:p>
    <w:p>
      <w:pPr>
        <w:pStyle w:val="965"/>
        <w:ind w:firstLine="540"/>
        <w:jc w:val="both"/>
      </w:pPr>
      <w:r>
        <w:rPr>
          <w:rFonts w:ascii="Times New Roman" w:hAnsi="Times New Roman" w:cs="Times New Roman"/>
          <w:sz w:val="28"/>
          <w:szCs w:val="28"/>
        </w:rPr>
        <w:t xml:space="preserve">Фе</w:t>
      </w:r>
      <w:r>
        <w:rPr>
          <w:rFonts w:ascii="Times New Roman" w:hAnsi="Times New Roman" w:cs="Times New Roman"/>
          <w:sz w:val="28"/>
          <w:szCs w:val="28"/>
        </w:rPr>
        <w:t xml:space="preserve">деральная антимонопольная служба в течение</w:t>
      </w:r>
      <w:r>
        <w:rPr>
          <w:rFonts w:ascii="Times New Roman" w:hAnsi="Times New Roman" w:cs="Times New Roman"/>
          <w:sz w:val="28"/>
          <w:szCs w:val="28"/>
        </w:rPr>
        <w:t xml:space="preserve"> рабочего дня со дня получения запроса организатора аукциона представляет запрашиваемые сведения в форме, в которой поступил запрос, организатору аукциона, который направляет представленные ему сведения в Комиссию в той же форме, в которой поступил запрос.</w:t>
      </w:r>
      <w:r>
        <w:rPr>
          <w:rFonts w:ascii="Times New Roman" w:hAnsi="Times New Roman" w:cs="Times New Roman"/>
          <w:sz w:val="28"/>
          <w:szCs w:val="28"/>
        </w:rPr>
      </w:r>
      <w:r/>
    </w:p>
    <w:p>
      <w:pPr>
        <w:pStyle w:val="965"/>
        <w:ind w:firstLine="540"/>
        <w:jc w:val="both"/>
      </w:pPr>
      <w:r>
        <w:rPr>
          <w:rFonts w:ascii="Times New Roman" w:hAnsi="Times New Roman" w:cs="Times New Roman"/>
          <w:sz w:val="28"/>
          <w:szCs w:val="28"/>
        </w:rPr>
        <w:t xml:space="preserve">10.3.</w:t>
      </w:r>
      <w:r>
        <w:rPr>
          <w:rFonts w:ascii="Times New Roman" w:hAnsi="Times New Roman" w:cs="Times New Roman"/>
          <w:sz w:val="28"/>
          <w:szCs w:val="28"/>
        </w:rPr>
        <w:t xml:space="preserve"> На основании результат</w:t>
      </w:r>
      <w:r>
        <w:rPr>
          <w:rFonts w:ascii="Times New Roman" w:hAnsi="Times New Roman" w:cs="Times New Roman"/>
          <w:sz w:val="28"/>
          <w:szCs w:val="28"/>
        </w:rPr>
        <w:t xml:space="preserve">ов рассмотрения заявок</w:t>
      </w:r>
      <w:r>
        <w:rPr>
          <w:rFonts w:ascii="Times New Roman" w:hAnsi="Times New Roman" w:cs="Times New Roman"/>
          <w:sz w:val="28"/>
          <w:szCs w:val="28"/>
        </w:rPr>
        <w:t xml:space="preserve"> на участие в аукционе Комиссия принимает решение о допуске к участию в аукционе заявителя и признании заявителя, подавшего заявку, участником аукциона или об отказе в допуске заявителя к участию в аукционе в порядке и по основаниям, которые предусмотрены </w:t>
      </w:r>
      <w:r>
        <w:rPr>
          <w:rFonts w:ascii="Times New Roman" w:hAnsi="Times New Roman" w:cs="Times New Roman"/>
          <w:sz w:val="28"/>
          <w:szCs w:val="28"/>
        </w:rPr>
        <w:t xml:space="preserve">настоящ</w:t>
      </w:r>
      <w:r>
        <w:rPr>
          <w:rFonts w:ascii="Times New Roman" w:hAnsi="Times New Roman" w:cs="Times New Roman"/>
          <w:sz w:val="28"/>
          <w:szCs w:val="28"/>
        </w:rPr>
        <w:t xml:space="preserve">ей </w:t>
      </w:r>
      <w:r>
        <w:rPr>
          <w:rFonts w:ascii="Times New Roman" w:hAnsi="Times New Roman" w:cs="Times New Roman"/>
          <w:sz w:val="28"/>
          <w:szCs w:val="28"/>
        </w:rPr>
        <w:t xml:space="preserve">д</w:t>
      </w:r>
      <w:r>
        <w:rPr>
          <w:rFonts w:ascii="Times New Roman" w:hAnsi="Times New Roman" w:cs="Times New Roman"/>
          <w:sz w:val="28"/>
          <w:szCs w:val="28"/>
        </w:rPr>
        <w:t xml:space="preserve">окументацией об аукционе. </w:t>
      </w:r>
      <w:r>
        <w:rPr>
          <w:rFonts w:ascii="Times New Roman" w:hAnsi="Times New Roman" w:cs="Times New Roman"/>
          <w:sz w:val="28"/>
          <w:szCs w:val="28"/>
        </w:rPr>
      </w:r>
      <w:r/>
    </w:p>
    <w:p>
      <w:pPr>
        <w:pStyle w:val="965"/>
        <w:ind w:firstLine="540"/>
        <w:jc w:val="both"/>
      </w:pPr>
      <w:r>
        <w:rPr>
          <w:rFonts w:ascii="Times New Roman" w:hAnsi="Times New Roman" w:cs="Times New Roman"/>
          <w:sz w:val="28"/>
          <w:szCs w:val="28"/>
        </w:rPr>
        <w:t xml:space="preserve">Заявитель не допускается к участию в аукционе в случаях:</w:t>
      </w:r>
      <w:r>
        <w:rPr>
          <w:rFonts w:ascii="Times New Roman" w:hAnsi="Times New Roman" w:cs="Times New Roman"/>
          <w:sz w:val="28"/>
          <w:szCs w:val="28"/>
        </w:rPr>
      </w:r>
      <w:r/>
    </w:p>
    <w:p>
      <w:pPr>
        <w:pStyle w:val="965"/>
        <w:ind w:firstLine="540"/>
        <w:jc w:val="both"/>
      </w:pPr>
      <w:r>
        <w:rPr>
          <w:rFonts w:ascii="Times New Roman" w:hAnsi="Times New Roman" w:cs="Times New Roman"/>
          <w:sz w:val="28"/>
          <w:szCs w:val="28"/>
        </w:rPr>
        <w:t xml:space="preserve">- </w:t>
      </w:r>
      <w:r>
        <w:rPr>
          <w:rFonts w:ascii="Times New Roman" w:hAnsi="Times New Roman" w:cs="Times New Roman"/>
          <w:sz w:val="28"/>
          <w:szCs w:val="28"/>
        </w:rPr>
        <w:t xml:space="preserve">непредставления сведений, предусмотренных </w:t>
      </w:r>
      <w:hyperlink w:tooltip="#P174" w:anchor="P174" w:history="1">
        <w:r>
          <w:rPr>
            <w:rFonts w:ascii="Times New Roman" w:hAnsi="Times New Roman" w:cs="Times New Roman"/>
            <w:sz w:val="28"/>
            <w:szCs w:val="28"/>
          </w:rPr>
          <w:t xml:space="preserve">пунктом </w:t>
        </w:r>
      </w:hyperlink>
      <w:r>
        <w:rPr>
          <w:rFonts w:ascii="Times New Roman" w:hAnsi="Times New Roman" w:cs="Times New Roman"/>
          <w:sz w:val="28"/>
          <w:szCs w:val="28"/>
        </w:rPr>
        <w:t xml:space="preserve">3.1</w:t>
      </w:r>
      <w:r>
        <w:rPr>
          <w:rFonts w:ascii="Times New Roman" w:hAnsi="Times New Roman" w:cs="Times New Roman"/>
          <w:sz w:val="28"/>
          <w:szCs w:val="28"/>
        </w:rPr>
        <w:t xml:space="preserve">. Документации об аукционе или представления недостоверных сведений;</w:t>
      </w:r>
      <w:r>
        <w:rPr>
          <w:rFonts w:ascii="Times New Roman" w:hAnsi="Times New Roman" w:cs="Times New Roman"/>
          <w:sz w:val="28"/>
          <w:szCs w:val="28"/>
        </w:rPr>
      </w:r>
      <w:r/>
    </w:p>
    <w:p>
      <w:pPr>
        <w:pStyle w:val="965"/>
        <w:ind w:firstLine="540"/>
        <w:jc w:val="both"/>
      </w:pPr>
      <w:r>
        <w:rPr>
          <w:rFonts w:ascii="Times New Roman" w:hAnsi="Times New Roman" w:cs="Times New Roman"/>
          <w:sz w:val="28"/>
          <w:szCs w:val="28"/>
        </w:rPr>
        <w:t xml:space="preserve">- </w:t>
      </w:r>
      <w:r>
        <w:rPr>
          <w:rFonts w:ascii="Times New Roman" w:hAnsi="Times New Roman" w:cs="Times New Roman"/>
          <w:sz w:val="28"/>
          <w:szCs w:val="28"/>
        </w:rPr>
        <w:t xml:space="preserve">непредставления документов, предусмотренных </w:t>
      </w:r>
      <w:hyperlink w:tooltip="#P183" w:anchor="P183" w:history="1">
        <w:r>
          <w:rPr>
            <w:rFonts w:ascii="Times New Roman" w:hAnsi="Times New Roman" w:cs="Times New Roman"/>
            <w:sz w:val="28"/>
            <w:szCs w:val="28"/>
          </w:rPr>
          <w:t xml:space="preserve">пунктом </w:t>
        </w:r>
      </w:hyperlink>
      <w:r>
        <w:rPr>
          <w:rFonts w:ascii="Times New Roman" w:hAnsi="Times New Roman" w:cs="Times New Roman"/>
          <w:sz w:val="28"/>
          <w:szCs w:val="28"/>
        </w:rPr>
        <w:t xml:space="preserve">3.2. Документации об аукционе.</w:t>
      </w:r>
      <w:r>
        <w:rPr>
          <w:rFonts w:ascii="Times New Roman" w:hAnsi="Times New Roman" w:cs="Times New Roman"/>
          <w:sz w:val="28"/>
          <w:szCs w:val="28"/>
        </w:rPr>
      </w:r>
      <w:r/>
    </w:p>
    <w:p>
      <w:pPr>
        <w:pStyle w:val="965"/>
        <w:ind w:firstLine="540"/>
        <w:jc w:val="both"/>
      </w:pPr>
      <w:r>
        <w:rPr>
          <w:rFonts w:ascii="Times New Roman" w:hAnsi="Times New Roman" w:cs="Times New Roman"/>
          <w:sz w:val="28"/>
          <w:szCs w:val="28"/>
        </w:rPr>
        <w:t xml:space="preserve">Отказ в допуске к участию в аукционе по основаниям, не предусмотренным настоящим пунктом, не допускается.</w:t>
      </w:r>
      <w:r>
        <w:rPr>
          <w:rFonts w:ascii="Times New Roman" w:hAnsi="Times New Roman" w:cs="Times New Roman"/>
          <w:sz w:val="28"/>
          <w:szCs w:val="28"/>
        </w:rPr>
      </w:r>
      <w:r/>
    </w:p>
    <w:p>
      <w:pPr>
        <w:pStyle w:val="965"/>
        <w:ind w:firstLine="540"/>
        <w:jc w:val="both"/>
      </w:pPr>
      <w:r>
        <w:rPr>
          <w:rFonts w:ascii="Times New Roman" w:hAnsi="Times New Roman" w:cs="Times New Roman"/>
          <w:sz w:val="28"/>
          <w:szCs w:val="28"/>
        </w:rPr>
        <w:t xml:space="preserve">Протокол рассмотрения заявок на участие в аукционе оформляется Комиссией в день рассмотрения заявок и направляется организатором аукциона оператору электронной площадки в течение одного рабочего дня, следующего за днем его подписания.</w:t>
      </w:r>
      <w:r>
        <w:rPr>
          <w:rFonts w:ascii="Times New Roman" w:hAnsi="Times New Roman" w:cs="Times New Roman"/>
          <w:sz w:val="28"/>
          <w:szCs w:val="28"/>
        </w:rPr>
      </w:r>
      <w:r/>
    </w:p>
    <w:p>
      <w:pPr>
        <w:pStyle w:val="965"/>
        <w:ind w:firstLine="540"/>
        <w:jc w:val="both"/>
      </w:pPr>
      <w:r>
        <w:rPr>
          <w:rFonts w:ascii="Times New Roman" w:hAnsi="Times New Roman" w:cs="Times New Roman"/>
          <w:sz w:val="28"/>
          <w:szCs w:val="28"/>
        </w:rPr>
        <w:t xml:space="preserve">В протоколе рассмотрения заявок указываются:</w:t>
      </w:r>
      <w:r>
        <w:rPr>
          <w:rFonts w:ascii="Times New Roman" w:hAnsi="Times New Roman" w:cs="Times New Roman"/>
          <w:sz w:val="28"/>
          <w:szCs w:val="28"/>
        </w:rPr>
      </w:r>
      <w:r/>
    </w:p>
    <w:p>
      <w:pPr>
        <w:pStyle w:val="965"/>
        <w:ind w:firstLine="540"/>
        <w:jc w:val="both"/>
        <w:spacing w:before="0" w:beforeAutospacing="0"/>
      </w:pPr>
      <w:r>
        <w:rPr>
          <w:rFonts w:ascii="Times New Roman" w:hAnsi="Times New Roman" w:cs="Times New Roman"/>
          <w:sz w:val="28"/>
          <w:szCs w:val="28"/>
        </w:rPr>
        <w:t xml:space="preserve">сведения о зарегистрированных заявках на участие в аукционе с указанием наименований заявителей - для юридических лиц или фамилий, имен, отчеств (при наличии) заявителей - индивидуальных предпринимателей;</w:t>
      </w:r>
      <w:r>
        <w:rPr>
          <w:rFonts w:ascii="Times New Roman" w:hAnsi="Times New Roman" w:cs="Times New Roman"/>
          <w:sz w:val="28"/>
          <w:szCs w:val="28"/>
        </w:rPr>
      </w:r>
      <w:r/>
    </w:p>
    <w:p>
      <w:pPr>
        <w:pStyle w:val="965"/>
        <w:ind w:firstLine="540"/>
        <w:jc w:val="both"/>
        <w:spacing w:before="0" w:beforeAutospacing="0"/>
      </w:pPr>
      <w:r>
        <w:rPr>
          <w:rFonts w:ascii="Times New Roman" w:hAnsi="Times New Roman" w:cs="Times New Roman"/>
          <w:sz w:val="28"/>
          <w:szCs w:val="28"/>
        </w:rPr>
        <w:t xml:space="preserve">дата подачи заявок на участие в аукционе;</w:t>
      </w:r>
      <w:r>
        <w:rPr>
          <w:rFonts w:ascii="Times New Roman" w:hAnsi="Times New Roman" w:cs="Times New Roman"/>
          <w:sz w:val="28"/>
          <w:szCs w:val="28"/>
        </w:rPr>
      </w:r>
      <w:r/>
    </w:p>
    <w:p>
      <w:pPr>
        <w:pStyle w:val="965"/>
        <w:ind w:firstLine="540"/>
        <w:jc w:val="both"/>
        <w:spacing w:before="0" w:beforeAutospacing="0"/>
      </w:pPr>
      <w:r>
        <w:rPr>
          <w:rFonts w:ascii="Times New Roman" w:hAnsi="Times New Roman" w:cs="Times New Roman"/>
          <w:sz w:val="28"/>
          <w:szCs w:val="28"/>
        </w:rPr>
        <w:t xml:space="preserve">сведения о внесенных задатках;</w:t>
      </w:r>
      <w:r>
        <w:rPr>
          <w:rFonts w:ascii="Times New Roman" w:hAnsi="Times New Roman" w:cs="Times New Roman"/>
          <w:sz w:val="28"/>
          <w:szCs w:val="28"/>
        </w:rPr>
      </w:r>
      <w:r/>
    </w:p>
    <w:p>
      <w:pPr>
        <w:pStyle w:val="965"/>
        <w:ind w:firstLine="540"/>
        <w:jc w:val="both"/>
        <w:spacing w:before="0" w:beforeAutospacing="0"/>
      </w:pPr>
      <w:r>
        <w:rPr>
          <w:rFonts w:ascii="Times New Roman" w:hAnsi="Times New Roman" w:cs="Times New Roman"/>
          <w:sz w:val="28"/>
          <w:szCs w:val="28"/>
        </w:rPr>
        <w:t xml:space="preserve">сведения об отозванных заявках на участие в аукционе;</w:t>
      </w:r>
      <w:r>
        <w:rPr>
          <w:rFonts w:ascii="Times New Roman" w:hAnsi="Times New Roman" w:cs="Times New Roman"/>
          <w:sz w:val="28"/>
          <w:szCs w:val="28"/>
        </w:rPr>
      </w:r>
      <w:r/>
    </w:p>
    <w:p>
      <w:pPr>
        <w:pStyle w:val="965"/>
        <w:ind w:firstLine="540"/>
        <w:jc w:val="both"/>
        <w:spacing w:before="0" w:beforeAutospacing="0"/>
      </w:pPr>
      <w:r>
        <w:rPr>
          <w:rFonts w:ascii="Times New Roman" w:hAnsi="Times New Roman" w:cs="Times New Roman"/>
          <w:sz w:val="28"/>
          <w:szCs w:val="28"/>
        </w:rPr>
        <w:t xml:space="preserve">наименования заявителей - для юридических лиц или фамилии, имена, отчества (при наличии) заявителей - индивидуальных предпринимателей, признанных участниками аукциона;</w:t>
      </w:r>
      <w:r>
        <w:rPr>
          <w:rFonts w:ascii="Times New Roman" w:hAnsi="Times New Roman" w:cs="Times New Roman"/>
          <w:sz w:val="28"/>
          <w:szCs w:val="28"/>
        </w:rPr>
      </w:r>
      <w:r/>
    </w:p>
    <w:p>
      <w:pPr>
        <w:pStyle w:val="965"/>
        <w:ind w:firstLine="540"/>
        <w:jc w:val="both"/>
        <w:spacing w:before="0" w:beforeAutospacing="0"/>
      </w:pPr>
      <w:r>
        <w:rPr>
          <w:rFonts w:ascii="Times New Roman" w:hAnsi="Times New Roman" w:cs="Times New Roman"/>
          <w:sz w:val="28"/>
          <w:szCs w:val="28"/>
        </w:rPr>
        <w:t xml:space="preserve">наименования заявителей - для юридических лиц или фамилии, имена, отчества (при наличии) заявителей - индивидуальных предпринимателей, которым было отказано в признании их участниками аукциона, с указанием причин такого отказа;</w:t>
      </w:r>
      <w:r>
        <w:rPr>
          <w:rFonts w:ascii="Times New Roman" w:hAnsi="Times New Roman" w:cs="Times New Roman"/>
          <w:sz w:val="28"/>
          <w:szCs w:val="28"/>
        </w:rPr>
      </w:r>
      <w:r/>
    </w:p>
    <w:p>
      <w:pPr>
        <w:pStyle w:val="965"/>
        <w:ind w:firstLine="540"/>
        <w:jc w:val="both"/>
        <w:spacing w:before="0" w:beforeAutospacing="0"/>
      </w:pPr>
      <w:r>
        <w:rPr>
          <w:rFonts w:ascii="Times New Roman" w:hAnsi="Times New Roman" w:cs="Times New Roman"/>
          <w:sz w:val="28"/>
          <w:szCs w:val="28"/>
        </w:rPr>
        <w:t xml:space="preserve">информация о признании аукциона несостоявшимся.</w:t>
      </w:r>
      <w:r>
        <w:rPr>
          <w:rFonts w:ascii="Times New Roman" w:hAnsi="Times New Roman" w:cs="Times New Roman"/>
          <w:sz w:val="28"/>
          <w:szCs w:val="28"/>
        </w:rPr>
      </w:r>
      <w:r/>
    </w:p>
    <w:p>
      <w:pPr>
        <w:pStyle w:val="965"/>
        <w:ind w:firstLine="540"/>
        <w:jc w:val="both"/>
      </w:pPr>
      <w:r>
        <w:rPr>
          <w:rFonts w:ascii="Times New Roman" w:hAnsi="Times New Roman" w:cs="Times New Roman"/>
          <w:sz w:val="28"/>
          <w:szCs w:val="28"/>
          <w:highlight w:val="none"/>
        </w:rPr>
      </w:r>
      <w:r>
        <w:rPr>
          <w:rFonts w:ascii="Times New Roman" w:hAnsi="Times New Roman" w:cs="Times New Roman"/>
          <w:sz w:val="28"/>
          <w:szCs w:val="28"/>
          <w:highlight w:val="none"/>
        </w:rPr>
      </w:r>
      <w:r/>
    </w:p>
    <w:p>
      <w:pPr>
        <w:pStyle w:val="965"/>
        <w:ind w:firstLine="540"/>
        <w:jc w:val="both"/>
      </w:pPr>
      <w:r>
        <w:rPr>
          <w:rFonts w:ascii="Times New Roman" w:hAnsi="Times New Roman" w:cs="Times New Roman"/>
          <w:sz w:val="28"/>
          <w:szCs w:val="28"/>
        </w:rPr>
        <w:t xml:space="preserve">Протокол рассмотрения заявок оператором электронной площадки публикуется на электронной площадке и размещается на официальном сайте одновременно с размещением протокола аукциона в сроки, указанные </w:t>
      </w:r>
      <w:r>
        <w:rPr>
          <w:rFonts w:ascii="Times New Roman" w:hAnsi="Times New Roman" w:cs="Times New Roman"/>
          <w:sz w:val="28"/>
          <w:szCs w:val="28"/>
        </w:rPr>
        <w:t xml:space="preserve">в </w:t>
      </w:r>
      <w:hyperlink w:tooltip="#P263" w:anchor="P263" w:history="1">
        <w:r>
          <w:rPr>
            <w:rFonts w:ascii="Times New Roman" w:hAnsi="Times New Roman" w:cs="Times New Roman"/>
            <w:sz w:val="28"/>
            <w:szCs w:val="28"/>
          </w:rPr>
          <w:t xml:space="preserve">пункте </w:t>
        </w:r>
      </w:hyperlink>
      <w:r>
        <w:rPr>
          <w:rFonts w:ascii="Times New Roman" w:hAnsi="Times New Roman" w:cs="Times New Roman"/>
          <w:sz w:val="28"/>
          <w:szCs w:val="28"/>
        </w:rPr>
        <w:t xml:space="preserve">13.3.</w:t>
      </w:r>
      <w:r>
        <w:rPr>
          <w:rFonts w:ascii="Times New Roman" w:hAnsi="Times New Roman" w:cs="Times New Roman"/>
          <w:sz w:val="28"/>
          <w:szCs w:val="28"/>
        </w:rPr>
      </w:r>
      <w:r/>
    </w:p>
    <w:p>
      <w:pPr>
        <w:pStyle w:val="965"/>
        <w:ind w:firstLine="540"/>
        <w:jc w:val="both"/>
        <w:spacing w:before="0" w:beforeAutospacing="0"/>
      </w:pPr>
      <w:r>
        <w:rPr>
          <w:rFonts w:ascii="Times New Roman" w:hAnsi="Times New Roman" w:cs="Times New Roman"/>
          <w:color w:val="auto"/>
          <w:sz w:val="28"/>
          <w:szCs w:val="28"/>
        </w:rPr>
        <w:t xml:space="preserve">10.4. Заявителям, подавшим заявки на участие в аукционе и не допущенным к участию в аукционе, а также заявителям, признанным участниками аукциона, оператор электронной пло</w:t>
      </w:r>
      <w:r>
        <w:rPr>
          <w:rFonts w:ascii="Times New Roman" w:hAnsi="Times New Roman" w:cs="Times New Roman"/>
          <w:color w:val="auto"/>
          <w:sz w:val="28"/>
          <w:szCs w:val="28"/>
        </w:rPr>
        <w:t xml:space="preserve">щадки посредством программно-аппаратных средств электронной площадки направляет уведомления о принятых Комиссией решениях не позднее дня, следующего за днем подписания протокола рассмотрения заявок на участие в аукционе, указанного в </w:t>
      </w:r>
      <w:hyperlink w:tooltip="#P229" w:anchor="P229" w:history="1">
        <w:r>
          <w:rPr>
            <w:rFonts w:ascii="Times New Roman" w:hAnsi="Times New Roman" w:cs="Times New Roman"/>
            <w:color w:val="auto"/>
            <w:sz w:val="28"/>
            <w:szCs w:val="28"/>
          </w:rPr>
          <w:t xml:space="preserve">пункте </w:t>
        </w:r>
      </w:hyperlink>
      <w:r>
        <w:rPr>
          <w:rFonts w:ascii="Times New Roman" w:hAnsi="Times New Roman" w:cs="Times New Roman"/>
          <w:color w:val="auto"/>
          <w:sz w:val="28"/>
          <w:szCs w:val="28"/>
        </w:rPr>
        <w:t xml:space="preserve">10.3. Документации об аукционе.</w:t>
      </w:r>
      <w:r>
        <w:rPr>
          <w:rFonts w:ascii="Times New Roman" w:hAnsi="Times New Roman" w:cs="Times New Roman"/>
          <w:color w:val="auto"/>
          <w:sz w:val="28"/>
          <w:szCs w:val="28"/>
        </w:rPr>
      </w:r>
      <w:r/>
    </w:p>
    <w:p>
      <w:pPr>
        <w:pStyle w:val="965"/>
        <w:ind w:firstLine="540"/>
        <w:jc w:val="both"/>
        <w:spacing w:before="0" w:beforeAutospacing="0"/>
      </w:pPr>
      <w:r>
        <w:rPr>
          <w:rFonts w:ascii="Times New Roman" w:hAnsi="Times New Roman" w:cs="Times New Roman"/>
          <w:color w:val="auto"/>
          <w:sz w:val="28"/>
          <w:szCs w:val="28"/>
        </w:rPr>
        <w:t xml:space="preserve">10.5. Оператор электронной площадки в течение одного часа с момента получения от организатора аукциона протокола рассмотрения заявок на участие в аукционе, указанного в </w:t>
      </w:r>
      <w:hyperlink w:tooltip="#P229" w:anchor="P229" w:history="1">
        <w:r>
          <w:rPr>
            <w:rFonts w:ascii="Times New Roman" w:hAnsi="Times New Roman" w:cs="Times New Roman"/>
            <w:color w:val="auto"/>
            <w:sz w:val="28"/>
            <w:szCs w:val="28"/>
          </w:rPr>
          <w:t xml:space="preserve">пункте </w:t>
        </w:r>
      </w:hyperlink>
      <w:r>
        <w:rPr>
          <w:rFonts w:ascii="Times New Roman" w:hAnsi="Times New Roman" w:cs="Times New Roman"/>
          <w:color w:val="auto"/>
          <w:sz w:val="28"/>
          <w:szCs w:val="28"/>
        </w:rPr>
        <w:t xml:space="preserve">10.3. Документации об аукционе, направляет в банк информацию о реквизитах специальных счетов в целях прекращения блокирования денежных средств заявителей, не допущенных к участию в аукционе, в размере задатка.</w:t>
      </w:r>
      <w:r>
        <w:rPr>
          <w:rFonts w:ascii="Times New Roman" w:hAnsi="Times New Roman" w:cs="Times New Roman"/>
          <w:color w:val="auto"/>
          <w:sz w:val="28"/>
          <w:szCs w:val="28"/>
        </w:rPr>
      </w:r>
      <w:r/>
    </w:p>
    <w:p>
      <w:pPr>
        <w:pStyle w:val="965"/>
        <w:ind w:firstLine="540"/>
        <w:jc w:val="both"/>
        <w:spacing w:before="0" w:beforeAutospacing="0"/>
      </w:pPr>
      <w:r>
        <w:rPr>
          <w:rFonts w:ascii="Times New Roman" w:hAnsi="Times New Roman" w:cs="Times New Roman"/>
          <w:color w:val="auto"/>
          <w:sz w:val="28"/>
          <w:szCs w:val="28"/>
        </w:rPr>
        <w:t xml:space="preserve">Банк не позднее одного часа с момента получения инфор</w:t>
      </w:r>
      <w:r>
        <w:rPr>
          <w:rFonts w:ascii="Times New Roman" w:hAnsi="Times New Roman" w:cs="Times New Roman"/>
          <w:color w:val="auto"/>
          <w:sz w:val="28"/>
          <w:szCs w:val="28"/>
        </w:rPr>
        <w:t xml:space="preserve">мации от оператора электронной площадки прекращает блокирование денежных средств на специальном счете, реквизиты которого поступили от оператора электронной площадки, и направляет информацию о прекращении такого блокирования оператору электронной площадки.</w:t>
      </w:r>
      <w:r>
        <w:rPr>
          <w:rFonts w:ascii="Times New Roman" w:hAnsi="Times New Roman" w:cs="Times New Roman"/>
          <w:color w:val="auto"/>
          <w:sz w:val="28"/>
          <w:szCs w:val="28"/>
        </w:rPr>
      </w:r>
      <w:r/>
    </w:p>
    <w:p>
      <w:pPr>
        <w:pStyle w:val="965"/>
        <w:ind w:firstLine="540"/>
        <w:jc w:val="both"/>
        <w:spacing w:before="0" w:beforeAutospacing="0"/>
      </w:pPr>
      <w:r>
        <w:rPr>
          <w:rFonts w:ascii="Times New Roman" w:hAnsi="Times New Roman" w:cs="Times New Roman"/>
          <w:color w:val="auto"/>
          <w:sz w:val="28"/>
          <w:szCs w:val="28"/>
        </w:rPr>
      </w:r>
      <w:r>
        <w:rPr>
          <w:rFonts w:ascii="Times New Roman" w:hAnsi="Times New Roman" w:cs="Times New Roman"/>
          <w:color w:val="auto"/>
          <w:sz w:val="28"/>
          <w:szCs w:val="28"/>
        </w:rPr>
      </w:r>
      <w:r/>
    </w:p>
    <w:p>
      <w:pPr>
        <w:pStyle w:val="965"/>
        <w:ind w:firstLine="540"/>
        <w:jc w:val="center"/>
      </w:pPr>
      <w:r>
        <w:rPr>
          <w:rFonts w:ascii="Times New Roman" w:hAnsi="Times New Roman" w:cs="Times New Roman"/>
          <w:sz w:val="28"/>
          <w:szCs w:val="28"/>
        </w:rPr>
      </w:r>
      <w:r>
        <w:tab/>
      </w:r>
      <w:r>
        <w:rPr>
          <w:rFonts w:ascii="Times New Roman" w:hAnsi="Times New Roman" w:cs="Times New Roman"/>
          <w:b/>
          <w:sz w:val="28"/>
          <w:szCs w:val="28"/>
        </w:rPr>
        <w:t xml:space="preserve">1</w:t>
      </w:r>
      <w:r>
        <w:rPr>
          <w:rFonts w:ascii="Times New Roman" w:hAnsi="Times New Roman" w:cs="Times New Roman"/>
          <w:b/>
          <w:sz w:val="28"/>
          <w:szCs w:val="28"/>
        </w:rPr>
        <w:t xml:space="preserve">1</w:t>
      </w:r>
      <w:r>
        <w:rPr>
          <w:rFonts w:ascii="Times New Roman" w:hAnsi="Times New Roman" w:cs="Times New Roman"/>
          <w:b/>
          <w:sz w:val="28"/>
          <w:szCs w:val="28"/>
        </w:rPr>
        <w:t xml:space="preserve">. Место, дата и время проведения аукциона</w:t>
      </w:r>
      <w:r>
        <w:rPr>
          <w:rFonts w:ascii="Times New Roman" w:hAnsi="Times New Roman" w:cs="Times New Roman"/>
          <w:b/>
          <w:sz w:val="28"/>
          <w:szCs w:val="28"/>
        </w:rPr>
        <w:t xml:space="preserve"> </w:t>
      </w:r>
      <w:r>
        <w:rPr>
          <w:rFonts w:ascii="Times New Roman" w:hAnsi="Times New Roman" w:cs="Times New Roman"/>
          <w:sz w:val="28"/>
          <w:szCs w:val="28"/>
        </w:rPr>
      </w:r>
      <w:r/>
    </w:p>
    <w:p>
      <w:pPr>
        <w:pStyle w:val="951"/>
        <w:jc w:val="center"/>
      </w:pPr>
      <w:r>
        <w:rPr>
          <w:rFonts w:ascii="Times New Roman" w:hAnsi="Times New Roman" w:cs="Times New Roman"/>
          <w:b/>
          <w:sz w:val="28"/>
          <w:szCs w:val="28"/>
        </w:rPr>
      </w:r>
      <w:r>
        <w:rPr>
          <w:rFonts w:ascii="Times New Roman" w:hAnsi="Times New Roman" w:cs="Times New Roman"/>
          <w:b/>
          <w:sz w:val="28"/>
          <w:szCs w:val="28"/>
        </w:rPr>
      </w:r>
      <w:r/>
    </w:p>
    <w:p>
      <w:pPr>
        <w:pStyle w:val="981"/>
        <w:ind w:left="0" w:firstLine="567"/>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bookmarkStart w:id="0" w:name="undefined"/>
      <w:r/>
      <w:bookmarkStart w:id="0" w:name="undefined"/>
      <w:r>
        <w:rPr>
          <w:rFonts w:ascii="Times New Roman" w:hAnsi="Times New Roman" w:eastAsia="Times New Roman" w:cs="Times New Roman"/>
          <w:color w:val="000000"/>
          <w:sz w:val="28"/>
          <w:szCs w:val="28"/>
        </w:rPr>
        <w:t xml:space="preserve">Аукцион</w:t>
      </w:r>
      <w:r>
        <w:rPr>
          <w:rFonts w:ascii="Times New Roman" w:hAnsi="Times New Roman" w:eastAsia="Times New Roman" w:cs="Times New Roman"/>
          <w:color w:val="000000"/>
          <w:sz w:val="28"/>
          <w:szCs w:val="28"/>
        </w:rPr>
        <w:t xml:space="preserve"> в электронной форме</w:t>
      </w:r>
      <w:r>
        <w:rPr>
          <w:rFonts w:ascii="Times New Roman" w:hAnsi="Times New Roman" w:eastAsia="Times New Roman" w:cs="Times New Roman"/>
          <w:color w:val="000000"/>
          <w:sz w:val="28"/>
          <w:szCs w:val="28"/>
        </w:rPr>
        <w:t xml:space="preserve"> проводится</w:t>
      </w:r>
      <w:r>
        <w:rPr>
          <w:rFonts w:ascii="Times New Roman" w:hAnsi="Times New Roman" w:eastAsia="Times New Roman" w:cs="Times New Roman"/>
          <w:color w:val="000000"/>
          <w:sz w:val="28"/>
          <w:szCs w:val="28"/>
        </w:rPr>
        <w:t xml:space="preserve"> на электронной площадке </w:t>
      </w:r>
      <w:r>
        <w:rPr>
          <w:rFonts w:ascii="Times New Roman" w:hAnsi="Times New Roman" w:eastAsia="Times New Roman" w:cs="Times New Roman"/>
          <w:color w:val="000000"/>
          <w:sz w:val="28"/>
          <w:szCs w:val="28"/>
        </w:rPr>
        <w:t xml:space="preserve">https://lot-online.ru</w:t>
      </w: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 </w:t>
      </w:r>
      <w:bookmarkEnd w:id="0"/>
      <w:r>
        <w:rPr>
          <w:highlight w:val="none"/>
        </w:rPr>
      </w:r>
      <w:r/>
    </w:p>
    <w:tbl>
      <w:tblPr>
        <w:tblStyle w:val="991"/>
        <w:tblW w:w="0" w:type="auto"/>
        <w:tblInd w:w="741" w:type="dxa"/>
        <w:tblLook w:val="04A0" w:firstRow="1" w:lastRow="0" w:firstColumn="1" w:lastColumn="0" w:noHBand="0" w:noVBand="1"/>
      </w:tblPr>
      <w:tblGrid>
        <w:gridCol w:w="1668"/>
        <w:gridCol w:w="3543"/>
        <w:gridCol w:w="3686"/>
      </w:tblGrid>
      <w:tr>
        <w:trPr>
          <w:trHeight w:val="653"/>
        </w:trPr>
        <w:tc>
          <w:tcPr>
            <w:tcW w:w="1668"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Cs/>
                <w:color w:val="000000"/>
              </w:rPr>
            </w:pPr>
            <w:r>
              <w:rPr>
                <w:rFonts w:ascii="Times New Roman" w:hAnsi="Times New Roman" w:eastAsia="Times New Roman" w:cs="Times New Roman"/>
                <w:b/>
                <w:color w:val="000000"/>
                <w:sz w:val="28"/>
                <w:szCs w:val="28"/>
              </w:rPr>
              <w:t xml:space="preserve">По лоту №</w:t>
            </w:r>
            <w:r>
              <w:rPr>
                <w:rFonts w:ascii="Times New Roman" w:hAnsi="Times New Roman" w:eastAsia="Times New Roman" w:cs="Times New Roman"/>
                <w:b/>
                <w:color w:val="000000"/>
                <w:sz w:val="28"/>
                <w:szCs w:val="28"/>
              </w:rPr>
            </w:r>
            <w:r/>
          </w:p>
        </w:tc>
        <w:tc>
          <w:tcPr>
            <w:tcW w:w="3543"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b/>
                <w:color w:val="000000"/>
                <w:sz w:val="28"/>
                <w:szCs w:val="28"/>
              </w:rPr>
              <w:t xml:space="preserve">Время начала аукциона</w:t>
            </w:r>
            <w:r>
              <w:rPr>
                <w:rFonts w:ascii="Times New Roman" w:hAnsi="Times New Roman" w:eastAsia="Times New Roman" w:cs="Times New Roman"/>
                <w:b/>
                <w:color w:val="000000"/>
                <w:sz w:val="28"/>
                <w:szCs w:val="28"/>
              </w:rPr>
            </w:r>
            <w:r/>
          </w:p>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bCs/>
                <w:color w:val="000000"/>
              </w:rPr>
            </w:pPr>
            <w:r>
              <w:rPr>
                <w:rFonts w:ascii="Times New Roman" w:hAnsi="Times New Roman" w:eastAsia="Times New Roman" w:cs="Times New Roman"/>
                <w:color w:val="000000"/>
                <w:sz w:val="28"/>
                <w:szCs w:val="28"/>
              </w:rPr>
              <w:t xml:space="preserve">(время московское)</w:t>
            </w:r>
            <w:r>
              <w:rPr>
                <w:rFonts w:ascii="Times New Roman" w:hAnsi="Times New Roman" w:eastAsia="Times New Roman" w:cs="Times New Roman"/>
                <w:color w:val="000000"/>
                <w:sz w:val="28"/>
                <w:szCs w:val="28"/>
              </w:rPr>
            </w:r>
            <w:r/>
          </w:p>
        </w:tc>
        <w:tc>
          <w:tcPr>
            <w:tcW w:w="3686"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Cs/>
                <w:color w:val="000000"/>
              </w:rPr>
            </w:pPr>
            <w:r>
              <w:rPr>
                <w:rFonts w:ascii="Times New Roman" w:hAnsi="Times New Roman" w:eastAsia="Times New Roman" w:cs="Times New Roman"/>
                <w:b/>
                <w:color w:val="000000"/>
                <w:sz w:val="28"/>
                <w:szCs w:val="28"/>
              </w:rPr>
              <w:t xml:space="preserve">Дата начала аукциона</w:t>
            </w:r>
            <w:r>
              <w:rPr>
                <w:rFonts w:ascii="Times New Roman" w:hAnsi="Times New Roman" w:eastAsia="Times New Roman" w:cs="Times New Roman"/>
                <w:b/>
                <w:color w:val="000000"/>
                <w:sz w:val="28"/>
                <w:szCs w:val="28"/>
              </w:rPr>
            </w:r>
            <w:r/>
          </w:p>
        </w:tc>
      </w:tr>
      <w:tr>
        <w:trPr>
          <w:trHeight w:val="343"/>
        </w:trPr>
        <w:tc>
          <w:tcPr>
            <w:tcW w:w="1668"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rPr>
            </w:pPr>
            <w:r>
              <w:rPr>
                <w:rFonts w:ascii="Times New Roman" w:hAnsi="Times New Roman" w:eastAsia="Times New Roman" w:cs="Times New Roman"/>
                <w:color w:val="000000"/>
                <w:sz w:val="28"/>
                <w:szCs w:val="28"/>
              </w:rPr>
              <w:t xml:space="preserve">16</w:t>
            </w:r>
            <w:r/>
          </w:p>
        </w:tc>
        <w:tc>
          <w:tcPr>
            <w:tcW w:w="3543" w:type="dxa"/>
            <w:textDirection w:val="lrTb"/>
            <w:noWrap w:val="false"/>
          </w:tcPr>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rPr>
            </w:pPr>
            <w:r>
              <w:rPr>
                <w:rFonts w:ascii="Times New Roman" w:hAnsi="Times New Roman" w:eastAsia="Times New Roman" w:cs="Times New Roman"/>
                <w:color w:val="000000"/>
                <w:sz w:val="28"/>
                <w:szCs w:val="28"/>
              </w:rPr>
              <w:t xml:space="preserve">16 час. 00 мин. </w:t>
            </w:r>
            <w:r>
              <w:rPr>
                <w:rFonts w:ascii="Times New Roman" w:hAnsi="Times New Roman" w:eastAsia="Times New Roman" w:cs="Times New Roman"/>
                <w:color w:val="000000"/>
                <w:sz w:val="28"/>
                <w:szCs w:val="28"/>
              </w:rPr>
            </w:r>
            <w:r/>
          </w:p>
        </w:tc>
        <w:tc>
          <w:tcPr>
            <w:tcW w:w="3686" w:type="dxa"/>
            <w:textDirection w:val="lrTb"/>
            <w:noWrap w:val="false"/>
          </w:tcPr>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rPr>
            </w:pP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22» </w:t>
            </w:r>
            <w:r>
              <w:rPr>
                <w:rFonts w:ascii="Times New Roman" w:hAnsi="Times New Roman" w:eastAsia="Times New Roman" w:cs="Times New Roman"/>
                <w:color w:val="000000"/>
                <w:sz w:val="28"/>
                <w:szCs w:val="28"/>
              </w:rPr>
              <w:t xml:space="preserve">мая 2025 г.</w:t>
            </w:r>
            <w:r>
              <w:rPr>
                <w:rFonts w:ascii="Times New Roman" w:hAnsi="Times New Roman" w:eastAsia="Times New Roman" w:cs="Times New Roman"/>
                <w:color w:val="000000"/>
                <w:sz w:val="28"/>
                <w:szCs w:val="28"/>
              </w:rPr>
            </w:r>
            <w:r/>
          </w:p>
        </w:tc>
      </w:tr>
    </w:tbl>
    <w:p>
      <w:pPr>
        <w:pStyle w:val="951"/>
        <w:jc w:val="center"/>
      </w:pPr>
      <w:r>
        <w:rPr>
          <w:rFonts w:ascii="Times New Roman" w:hAnsi="Times New Roman" w:cs="Times New Roman"/>
          <w:b/>
          <w:bCs/>
          <w:sz w:val="28"/>
          <w:szCs w:val="28"/>
          <w:highlight w:val="none"/>
        </w:rPr>
      </w:r>
      <w:r>
        <w:rPr>
          <w:rFonts w:ascii="Times New Roman" w:hAnsi="Times New Roman" w:cs="Times New Roman"/>
          <w:b/>
          <w:bCs/>
          <w:sz w:val="28"/>
          <w:szCs w:val="28"/>
        </w:rPr>
      </w:r>
      <w:r/>
    </w:p>
    <w:p>
      <w:pPr>
        <w:pStyle w:val="951"/>
        <w:jc w:val="center"/>
      </w:pPr>
      <w:r>
        <w:rPr>
          <w:rFonts w:ascii="Times New Roman" w:hAnsi="Times New Roman" w:cs="Times New Roman"/>
          <w:b/>
          <w:bCs/>
          <w:sz w:val="28"/>
          <w:szCs w:val="28"/>
        </w:rPr>
        <w:t xml:space="preserve">12. Порядок проведения аукциона</w:t>
      </w:r>
      <w:r/>
    </w:p>
    <w:p>
      <w:pPr>
        <w:pStyle w:val="951"/>
        <w:jc w:val="center"/>
      </w:pPr>
      <w:r>
        <w:rPr>
          <w:rFonts w:ascii="Times New Roman" w:hAnsi="Times New Roman" w:cs="Times New Roman"/>
          <w:b/>
          <w:bCs/>
          <w:sz w:val="28"/>
          <w:szCs w:val="28"/>
          <w:highlight w:val="none"/>
        </w:rPr>
      </w:r>
      <w:r/>
    </w:p>
    <w:p>
      <w:pPr>
        <w:ind w:firstLine="539"/>
      </w:pPr>
      <w:r>
        <w:rPr>
          <w:rFonts w:ascii="Times New Roman" w:hAnsi="Times New Roman" w:cs="Times New Roman"/>
          <w:sz w:val="28"/>
          <w:szCs w:val="28"/>
        </w:rPr>
        <w:t xml:space="preserve">12.1</w:t>
      </w:r>
      <w:r>
        <w:rPr>
          <w:rFonts w:ascii="Times New Roman" w:hAnsi="Times New Roman" w:cs="Times New Roman"/>
          <w:sz w:val="28"/>
          <w:szCs w:val="28"/>
        </w:rPr>
        <w:t xml:space="preserve">. Аукцион проводится путем повышения начальной цены предмета аукциона (лота) на шаг аукциона, который устанавливается в размере 5 процентов начальной цены предмета аукциона (лота). При этом торги начинаются с цены предмета аукциона (лота), повышенной на од</w:t>
      </w:r>
      <w:r>
        <w:rPr>
          <w:rFonts w:ascii="Times New Roman" w:hAnsi="Times New Roman" w:cs="Times New Roman"/>
          <w:sz w:val="28"/>
          <w:szCs w:val="28"/>
        </w:rPr>
        <w:t xml:space="preserve">ин шаг аукциона. Каждое последующее предложение о цене предмета аукциона  (лота) повышается на один шаг аукциона. </w:t>
      </w:r>
      <w:r/>
    </w:p>
    <w:p>
      <w:pPr>
        <w:pStyle w:val="965"/>
        <w:ind w:firstLine="540"/>
        <w:jc w:val="both"/>
      </w:pPr>
      <w:r>
        <w:rPr>
          <w:rFonts w:ascii="Times New Roman" w:hAnsi="Times New Roman" w:cs="Times New Roman"/>
          <w:sz w:val="28"/>
          <w:szCs w:val="28"/>
        </w:rPr>
        <w:t xml:space="preserve">Участник аукциона не вправе подать предложение о цене предмета аукциона (лота) в случае, если текущее максимальное предложение о цене предмет</w:t>
      </w:r>
      <w:r>
        <w:rPr>
          <w:rFonts w:ascii="Times New Roman" w:hAnsi="Times New Roman" w:cs="Times New Roman"/>
          <w:sz w:val="28"/>
          <w:szCs w:val="28"/>
        </w:rPr>
        <w:t xml:space="preserve">а аукциона (лота) подано таким участником аукциона.</w:t>
      </w:r>
      <w:r/>
    </w:p>
    <w:p>
      <w:pPr>
        <w:pStyle w:val="965"/>
        <w:ind w:firstLine="540"/>
        <w:jc w:val="both"/>
      </w:pPr>
      <w:r>
        <w:rPr>
          <w:rFonts w:ascii="Times New Roman" w:hAnsi="Times New Roman" w:cs="Times New Roman"/>
          <w:sz w:val="28"/>
          <w:szCs w:val="28"/>
        </w:rPr>
        <w:t xml:space="preserve">Участник аукциона в ходе проведения торгов вправе сделать ценовое предложение, кратное нескольким шагам аукциона.</w:t>
      </w:r>
      <w:r/>
    </w:p>
    <w:p>
      <w:pPr>
        <w:ind w:firstLine="539"/>
      </w:pPr>
      <w:r>
        <w:rPr>
          <w:rFonts w:ascii="Times New Roman" w:hAnsi="Times New Roman" w:cs="Times New Roman"/>
          <w:sz w:val="28"/>
          <w:szCs w:val="28"/>
        </w:rPr>
        <w:t xml:space="preserve">12.2. Процедура подачи предложений о цене предмета аукциона (лота) (торговая сессия) прово</w:t>
      </w:r>
      <w:r>
        <w:rPr>
          <w:rFonts w:ascii="Times New Roman" w:hAnsi="Times New Roman" w:cs="Times New Roman"/>
          <w:sz w:val="28"/>
          <w:szCs w:val="28"/>
        </w:rPr>
        <w:t xml:space="preserve">дится в день и во время, указанные в извещении о проведении аукциона.</w:t>
      </w:r>
      <w:r/>
    </w:p>
    <w:p>
      <w:pPr>
        <w:ind w:firstLine="539"/>
      </w:pPr>
      <w:r>
        <w:rPr>
          <w:rFonts w:ascii="Times New Roman" w:hAnsi="Times New Roman" w:cs="Times New Roman"/>
          <w:sz w:val="28"/>
          <w:szCs w:val="28"/>
        </w:rPr>
        <w:t xml:space="preserve">Предложение о цене предмета аукциона (лота) подписывается усиленной квалифицированной электронной подписью участника аукциона.</w:t>
      </w:r>
      <w:r/>
    </w:p>
    <w:p>
      <w:pPr>
        <w:ind w:firstLine="539"/>
      </w:pPr>
      <w:r>
        <w:rPr>
          <w:rFonts w:ascii="Times New Roman" w:hAnsi="Times New Roman" w:cs="Times New Roman"/>
          <w:sz w:val="28"/>
          <w:szCs w:val="28"/>
        </w:rPr>
        <w:t xml:space="preserve">В день и во время, указанные в извещении о проведении аукци</w:t>
      </w:r>
      <w:r>
        <w:rPr>
          <w:rFonts w:ascii="Times New Roman" w:hAnsi="Times New Roman" w:cs="Times New Roman"/>
          <w:sz w:val="28"/>
          <w:szCs w:val="28"/>
        </w:rPr>
        <w:t xml:space="preserve">она, оператор электронной площадки обеспечивает доступ участников аукциона к закрытой части электронной площадки и возможность представления ими предложений о цене предмета аукциона (лота). В подаче предложений о цене предмета аукциона (лота) по каждому ша</w:t>
      </w:r>
      <w:r>
        <w:rPr>
          <w:rFonts w:ascii="Times New Roman" w:hAnsi="Times New Roman" w:cs="Times New Roman"/>
          <w:sz w:val="28"/>
          <w:szCs w:val="28"/>
        </w:rPr>
        <w:t xml:space="preserve">гу аукциона участвуют только участники аукциона. </w:t>
      </w:r>
      <w:r/>
    </w:p>
    <w:p>
      <w:pPr>
        <w:ind w:firstLine="539"/>
      </w:pPr>
      <w:r>
        <w:rPr>
          <w:rFonts w:ascii="Times New Roman" w:hAnsi="Times New Roman" w:cs="Times New Roman"/>
          <w:sz w:val="28"/>
          <w:szCs w:val="28"/>
        </w:rPr>
        <w:t xml:space="preserve">12.3. При проведении аукциона устанавливается время приема предложений участников аукциона о цене предмета аукциона (лота), составляющее 10 минут от начала проведения аукциона до истечения срока подачи пред</w:t>
      </w:r>
      <w:r>
        <w:rPr>
          <w:rFonts w:ascii="Times New Roman" w:hAnsi="Times New Roman" w:cs="Times New Roman"/>
          <w:sz w:val="28"/>
          <w:szCs w:val="28"/>
        </w:rPr>
        <w:t xml:space="preserve">ложений о цене предмета аукциона (лота), а также 10 минут после поступления последнего предложения о цене предмета аукциона (лота). Время, оставшееся до истечения срока подачи предложений о цене предмета аукциона (лота) обновляется автоматически с помощью </w:t>
      </w:r>
      <w:r>
        <w:rPr>
          <w:rFonts w:ascii="Times New Roman" w:hAnsi="Times New Roman" w:cs="Times New Roman"/>
          <w:sz w:val="28"/>
          <w:szCs w:val="28"/>
        </w:rPr>
        <w:t xml:space="preserve">программных и технических средств, обеспечивающих проведение такого аукциона, после повышения начальной цены предмета аукциона (лота) или поступления последнего предложения о цене предмета аукциона (лота). Если в течение указанного времени ни одного предло</w:t>
      </w:r>
      <w:r>
        <w:rPr>
          <w:rFonts w:ascii="Times New Roman" w:hAnsi="Times New Roman" w:cs="Times New Roman"/>
          <w:sz w:val="28"/>
          <w:szCs w:val="28"/>
        </w:rPr>
        <w:t xml:space="preserve">жения о более высокой цене предмета аукциона (лота) не поступило, такой аукциона автоматически, с помощью программных и технических средств, обеспечивающих его проведение, завершается. </w:t>
      </w:r>
      <w:r/>
    </w:p>
    <w:p>
      <w:pPr>
        <w:ind w:firstLine="539"/>
      </w:pPr>
      <w:r>
        <w:rPr>
          <w:rFonts w:ascii="Times New Roman" w:hAnsi="Times New Roman" w:cs="Times New Roman"/>
          <w:sz w:val="28"/>
          <w:szCs w:val="28"/>
        </w:rPr>
        <w:t xml:space="preserve">Срок подачи предложений о цене предмета аукциона (лота) обновляется ав</w:t>
      </w:r>
      <w:r>
        <w:rPr>
          <w:rFonts w:ascii="Times New Roman" w:hAnsi="Times New Roman" w:cs="Times New Roman"/>
          <w:sz w:val="28"/>
          <w:szCs w:val="28"/>
        </w:rPr>
        <w:t xml:space="preserve">томатически после повышения текущего предложения о цене. </w:t>
      </w:r>
      <w:r/>
    </w:p>
    <w:p>
      <w:pPr>
        <w:ind w:firstLine="540"/>
      </w:pPr>
      <w:r>
        <w:rPr>
          <w:rFonts w:ascii="Times New Roman" w:hAnsi="Times New Roman" w:cs="Times New Roman"/>
          <w:sz w:val="28"/>
          <w:szCs w:val="28"/>
        </w:rPr>
        <w:t xml:space="preserve">12.4. Победителем аукциона признается участник аукциона, предложивший более высокую цену предмета аукциона (лота).</w:t>
      </w:r>
      <w:r/>
    </w:p>
    <w:p>
      <w:pPr>
        <w:ind w:firstLine="540"/>
      </w:pPr>
      <w:r>
        <w:rPr>
          <w:rFonts w:ascii="Times New Roman" w:hAnsi="Times New Roman" w:cs="Times New Roman"/>
          <w:sz w:val="28"/>
          <w:szCs w:val="28"/>
        </w:rPr>
        <w:t xml:space="preserve">12.5. Ход проведения процедуры подачи предложений о цене предмета аукциона (лота) ф</w:t>
      </w:r>
      <w:r>
        <w:rPr>
          <w:rFonts w:ascii="Times New Roman" w:hAnsi="Times New Roman" w:cs="Times New Roman"/>
          <w:sz w:val="28"/>
          <w:szCs w:val="28"/>
        </w:rPr>
        <w:t xml:space="preserve">иксируется оператором электронной площадки в электронном журнале, который направляется организатору аукциона посредством программно- аппаратных средств электронной площадки в течение одного часа с момента завершения приема предложений о цене.</w:t>
      </w:r>
      <w:r/>
    </w:p>
    <w:p>
      <w:pPr>
        <w:ind w:firstLine="540"/>
      </w:pPr>
      <w:r/>
      <w:r/>
    </w:p>
    <w:p>
      <w:pPr>
        <w:pStyle w:val="944"/>
        <w:jc w:val="center"/>
        <w:spacing w:before="0"/>
        <w:widowControl w:val="off"/>
        <w:suppressLineNumbers/>
      </w:pPr>
      <w:r>
        <w:rPr>
          <w:rFonts w:ascii="Times New Roman" w:hAnsi="Times New Roman" w:eastAsia="Times New Roman" w:cs="Times New Roman"/>
          <w:bCs w:val="0"/>
          <w:iCs/>
          <w:color w:val="auto"/>
          <w:sz w:val="28"/>
          <w:szCs w:val="28"/>
        </w:rPr>
        <w:t xml:space="preserve">13. Оформлен</w:t>
      </w:r>
      <w:r>
        <w:rPr>
          <w:rFonts w:ascii="Times New Roman" w:hAnsi="Times New Roman" w:eastAsia="Times New Roman" w:cs="Times New Roman"/>
          <w:bCs w:val="0"/>
          <w:iCs/>
          <w:color w:val="auto"/>
          <w:sz w:val="28"/>
          <w:szCs w:val="28"/>
        </w:rPr>
        <w:t xml:space="preserve">ие результатов аукциона </w:t>
      </w:r>
      <w:r/>
    </w:p>
    <w:p>
      <w:pPr>
        <w:ind w:firstLine="540"/>
      </w:pPr>
      <w:r/>
      <w:r/>
    </w:p>
    <w:p>
      <w:pPr>
        <w:ind w:firstLine="540"/>
      </w:pPr>
      <w:r>
        <w:rPr>
          <w:rFonts w:ascii="Times New Roman" w:hAnsi="Times New Roman" w:cs="Times New Roman"/>
          <w:sz w:val="28"/>
          <w:szCs w:val="28"/>
        </w:rPr>
        <w:t xml:space="preserve">13.1. Организатор аукциона не позднее следующего рабочего дня после дня проведения аукциона подписывает протокол аукциона, содержащий цену предмета аукциона (лота), предложенную победителем.</w:t>
      </w:r>
      <w:r/>
    </w:p>
    <w:p>
      <w:pPr>
        <w:pStyle w:val="965"/>
        <w:ind w:firstLine="540"/>
        <w:jc w:val="both"/>
      </w:pPr>
      <w:r>
        <w:rPr>
          <w:rFonts w:ascii="Times New Roman" w:hAnsi="Times New Roman" w:cs="Times New Roman"/>
          <w:sz w:val="28"/>
          <w:szCs w:val="28"/>
        </w:rPr>
        <w:t xml:space="preserve">13.2. В протоколе аукциона указываются:</w:t>
      </w:r>
      <w:r/>
    </w:p>
    <w:p>
      <w:pPr>
        <w:pStyle w:val="965"/>
        <w:ind w:firstLine="709"/>
        <w:jc w:val="both"/>
        <w:spacing w:line="356" w:lineRule="atLeast"/>
      </w:pPr>
      <w:r>
        <w:rPr>
          <w:rFonts w:ascii="Times New Roman" w:hAnsi="Times New Roman" w:cs="Times New Roman"/>
          <w:sz w:val="28"/>
          <w:szCs w:val="28"/>
        </w:rPr>
        <w:t xml:space="preserve">а) предмет аукциона (лот) ;</w:t>
      </w:r>
      <w:r/>
    </w:p>
    <w:p>
      <w:pPr>
        <w:pStyle w:val="965"/>
        <w:ind w:firstLine="709"/>
        <w:jc w:val="both"/>
        <w:spacing w:line="356" w:lineRule="atLeast"/>
      </w:pPr>
      <w:r>
        <w:rPr>
          <w:rFonts w:ascii="Times New Roman" w:hAnsi="Times New Roman" w:cs="Times New Roman"/>
          <w:sz w:val="28"/>
          <w:szCs w:val="28"/>
        </w:rPr>
        <w:t xml:space="preserve">б) дата и время проведения аукциона; </w:t>
      </w:r>
      <w:r/>
    </w:p>
    <w:p>
      <w:pPr>
        <w:pStyle w:val="965"/>
        <w:ind w:firstLine="709"/>
        <w:jc w:val="both"/>
        <w:spacing w:line="356" w:lineRule="atLeast"/>
      </w:pPr>
      <w:r>
        <w:rPr>
          <w:rFonts w:ascii="Times New Roman" w:hAnsi="Times New Roman" w:cs="Times New Roman"/>
          <w:sz w:val="28"/>
          <w:szCs w:val="28"/>
        </w:rPr>
        <w:t xml:space="preserve">в) участники аукциона;</w:t>
      </w:r>
      <w:r/>
    </w:p>
    <w:p>
      <w:pPr>
        <w:pStyle w:val="965"/>
        <w:ind w:firstLine="709"/>
        <w:jc w:val="both"/>
        <w:spacing w:line="356" w:lineRule="atLeast"/>
      </w:pPr>
      <w:r>
        <w:rPr>
          <w:rFonts w:ascii="Times New Roman" w:hAnsi="Times New Roman" w:cs="Times New Roman"/>
          <w:sz w:val="28"/>
          <w:szCs w:val="28"/>
        </w:rPr>
        <w:t xml:space="preserve">г) начальная цена предмета аукциона (лота);</w:t>
      </w:r>
      <w:r/>
    </w:p>
    <w:p>
      <w:pPr>
        <w:pStyle w:val="965"/>
        <w:ind w:firstLine="709"/>
        <w:jc w:val="both"/>
        <w:spacing w:line="356" w:lineRule="atLeast"/>
      </w:pPr>
      <w:r>
        <w:rPr>
          <w:rFonts w:ascii="Times New Roman" w:hAnsi="Times New Roman" w:cs="Times New Roman"/>
          <w:sz w:val="28"/>
          <w:szCs w:val="28"/>
        </w:rPr>
        <w:t xml:space="preserve">д) последнее и предпоследнее предложения о цене предмета аукциона (лота);</w:t>
      </w:r>
      <w:r/>
    </w:p>
    <w:p>
      <w:pPr>
        <w:pStyle w:val="965"/>
        <w:ind w:firstLine="709"/>
        <w:jc w:val="both"/>
        <w:spacing w:line="356" w:lineRule="atLeast"/>
      </w:pPr>
      <w:r>
        <w:rPr>
          <w:rFonts w:ascii="Times New Roman" w:hAnsi="Times New Roman" w:cs="Times New Roman"/>
          <w:sz w:val="28"/>
          <w:szCs w:val="28"/>
        </w:rPr>
        <w:t xml:space="preserve">е) </w:t>
      </w:r>
      <w:r>
        <w:rPr>
          <w:rFonts w:ascii="Times New Roman" w:hAnsi="Times New Roman" w:cs="Times New Roman"/>
          <w:sz w:val="28"/>
          <w:szCs w:val="28"/>
        </w:rPr>
        <w:t xml:space="preserve">наименование и место нахождения, идентификационный номер налогоплательщика юридического лица или фамилия, имя, отчество </w:t>
      </w:r>
      <w:r>
        <w:rPr>
          <w:rFonts w:ascii="Times New Roman" w:hAnsi="Times New Roman" w:cs="Times New Roman"/>
          <w:sz w:val="28"/>
          <w:szCs w:val="28"/>
        </w:rPr>
        <w:br/>
        <w:t xml:space="preserve">(при наличии) и место жительства, идентификационный номер налогоплательщика индивидуального предпринимателя - победителя аукциона;</w:t>
      </w:r>
      <w:r/>
    </w:p>
    <w:p>
      <w:pPr>
        <w:pStyle w:val="965"/>
        <w:ind w:firstLine="709"/>
        <w:jc w:val="both"/>
        <w:spacing w:line="360" w:lineRule="exact"/>
      </w:pPr>
      <w:r>
        <w:rPr>
          <w:rFonts w:ascii="Times New Roman" w:hAnsi="Times New Roman" w:cs="Times New Roman"/>
          <w:sz w:val="28"/>
          <w:szCs w:val="28"/>
        </w:rPr>
        <w:t xml:space="preserve">ж) н</w:t>
      </w:r>
      <w:r>
        <w:rPr>
          <w:rFonts w:ascii="Times New Roman" w:hAnsi="Times New Roman" w:cs="Times New Roman"/>
          <w:sz w:val="28"/>
          <w:szCs w:val="28"/>
        </w:rPr>
        <w:t xml:space="preserve">аименование и место нахождения, идентификационный номер налогоплательщика юридического лица или фамилия, имя, отчество </w:t>
      </w:r>
      <w:r>
        <w:rPr>
          <w:rFonts w:ascii="Times New Roman" w:hAnsi="Times New Roman" w:cs="Times New Roman"/>
          <w:sz w:val="28"/>
          <w:szCs w:val="28"/>
        </w:rPr>
        <w:br/>
        <w:t xml:space="preserve">(при наличии) и место жительства индивидуального предпринимателя - участника аукциона, сделавшего предпоследнее предложение о цене предм</w:t>
      </w:r>
      <w:r>
        <w:rPr>
          <w:rFonts w:ascii="Times New Roman" w:hAnsi="Times New Roman" w:cs="Times New Roman"/>
          <w:sz w:val="28"/>
          <w:szCs w:val="28"/>
        </w:rPr>
        <w:t xml:space="preserve">ета аукциона (лота).</w:t>
      </w:r>
      <w:r/>
    </w:p>
    <w:p>
      <w:pPr>
        <w:pStyle w:val="965"/>
        <w:ind w:firstLine="539"/>
        <w:jc w:val="both"/>
      </w:pPr>
      <w:r>
        <w:rPr>
          <w:rFonts w:ascii="Times New Roman" w:hAnsi="Times New Roman" w:cs="Times New Roman"/>
          <w:sz w:val="28"/>
          <w:szCs w:val="28"/>
        </w:rPr>
        <w:t xml:space="preserve">13.3. Протокол аукциона размещается организатором аукциона на электронной</w:t>
      </w:r>
      <w:r>
        <w:rPr>
          <w:rFonts w:ascii="Times New Roman" w:hAnsi="Times New Roman" w:cs="Times New Roman"/>
          <w:sz w:val="28"/>
          <w:szCs w:val="28"/>
        </w:rPr>
        <w:t xml:space="preserve"> площадке в течение одного рабочего дня, следующего за днем подписания протокола аукциона. В течение одного часа с момента размещения протокола аукциона на электронной площадке оператор электронной площадки размещает протокол аукциона на официальном сайте.</w:t>
      </w:r>
      <w:r/>
    </w:p>
    <w:p>
      <w:pPr>
        <w:pStyle w:val="965"/>
        <w:ind w:firstLine="540"/>
        <w:jc w:val="both"/>
      </w:pPr>
      <w:r>
        <w:rPr>
          <w:rFonts w:ascii="Times New Roman" w:hAnsi="Times New Roman" w:cs="Times New Roman"/>
          <w:sz w:val="28"/>
          <w:szCs w:val="28"/>
        </w:rPr>
        <w:t xml:space="preserve">13.4.</w:t>
      </w:r>
      <w:r>
        <w:rPr>
          <w:rFonts w:ascii="Times New Roman" w:hAnsi="Times New Roman" w:cs="Times New Roman"/>
          <w:color w:val="ff0000"/>
          <w:sz w:val="28"/>
          <w:szCs w:val="28"/>
        </w:rPr>
        <w:t xml:space="preserve"> </w:t>
      </w:r>
      <w:r>
        <w:rPr>
          <w:rFonts w:ascii="Times New Roman" w:hAnsi="Times New Roman" w:cs="Times New Roman"/>
          <w:sz w:val="28"/>
          <w:szCs w:val="28"/>
        </w:rPr>
        <w:t xml:space="preserve">Оператор электронной площадки в течение одного часа с момента размещения организатором аукциона на электронной площадке протокола аукциона направляет в банк информацию:</w:t>
      </w:r>
      <w:r/>
    </w:p>
    <w:p>
      <w:pPr>
        <w:pStyle w:val="965"/>
        <w:ind w:firstLine="540"/>
        <w:jc w:val="both"/>
      </w:pPr>
      <w:r>
        <w:rPr>
          <w:rFonts w:ascii="Times New Roman" w:hAnsi="Times New Roman" w:cs="Times New Roman"/>
          <w:sz w:val="28"/>
          <w:szCs w:val="28"/>
        </w:rPr>
        <w:t xml:space="preserve">о реквизитах специальных счетов участников аукциона, не победивших в аукционе, в</w:t>
      </w:r>
      <w:r>
        <w:rPr>
          <w:rFonts w:ascii="Times New Roman" w:hAnsi="Times New Roman" w:cs="Times New Roman"/>
          <w:sz w:val="28"/>
          <w:szCs w:val="28"/>
        </w:rPr>
        <w:t xml:space="preserve"> целях прекращения блокирования денежных средств в размере задатка;</w:t>
      </w:r>
      <w:r/>
    </w:p>
    <w:p>
      <w:pPr>
        <w:pStyle w:val="965"/>
        <w:ind w:firstLine="540"/>
        <w:jc w:val="both"/>
      </w:pPr>
      <w:r>
        <w:rPr>
          <w:rFonts w:ascii="Times New Roman" w:hAnsi="Times New Roman" w:cs="Times New Roman"/>
          <w:sz w:val="28"/>
          <w:szCs w:val="28"/>
        </w:rPr>
        <w:t xml:space="preserve">о реквизитах счета организатора аукциона в целях перевода задатка победителя аукциона.</w:t>
      </w:r>
      <w:r/>
    </w:p>
    <w:p>
      <w:pPr>
        <w:pStyle w:val="965"/>
        <w:ind w:firstLine="540"/>
        <w:jc w:val="both"/>
      </w:pPr>
      <w:r>
        <w:rPr>
          <w:rFonts w:ascii="Times New Roman" w:hAnsi="Times New Roman" w:cs="Times New Roman"/>
          <w:sz w:val="28"/>
          <w:szCs w:val="28"/>
        </w:rPr>
        <w:t xml:space="preserve">Банк не позднее одного часа с момента получения от оператора электронной площадки информации, указанн</w:t>
      </w:r>
      <w:r>
        <w:rPr>
          <w:rFonts w:ascii="Times New Roman" w:hAnsi="Times New Roman" w:cs="Times New Roman"/>
          <w:sz w:val="28"/>
          <w:szCs w:val="28"/>
        </w:rPr>
        <w:t xml:space="preserve">ой в </w:t>
      </w:r>
      <w:hyperlink w:tooltip="#P265" w:anchor="P265" w:history="1">
        <w:r>
          <w:rPr>
            <w:rFonts w:ascii="Times New Roman" w:hAnsi="Times New Roman" w:cs="Times New Roman"/>
            <w:sz w:val="28"/>
            <w:szCs w:val="28"/>
          </w:rPr>
          <w:t xml:space="preserve">абзацах втором и </w:t>
        </w:r>
      </w:hyperlink>
      <w:r/>
      <w:hyperlink w:tooltip="#P267" w:anchor="P267" w:history="1">
        <w:r>
          <w:rPr>
            <w:rFonts w:ascii="Times New Roman" w:hAnsi="Times New Roman" w:cs="Times New Roman"/>
            <w:sz w:val="28"/>
            <w:szCs w:val="28"/>
          </w:rPr>
          <w:t xml:space="preserve">третьем</w:t>
        </w:r>
      </w:hyperlink>
      <w:r>
        <w:rPr>
          <w:rFonts w:ascii="Times New Roman" w:hAnsi="Times New Roman" w:cs="Times New Roman"/>
          <w:sz w:val="28"/>
          <w:szCs w:val="28"/>
        </w:rPr>
        <w:t xml:space="preserve"> настоящего пункта, прекращает блокирование денежных средств на специальном счете, реквизиты которого поступили от оператора электронной площадки, и направля</w:t>
      </w:r>
      <w:r>
        <w:rPr>
          <w:rFonts w:ascii="Times New Roman" w:hAnsi="Times New Roman" w:cs="Times New Roman"/>
          <w:sz w:val="28"/>
          <w:szCs w:val="28"/>
        </w:rPr>
        <w:t xml:space="preserve">ет информацию о прекращении такого блокирования оператору электронной площадки и (или) осуществляет перевод заблокированных денежных средств в размере задатка на счет Федерального агентства по рыболовству.</w:t>
      </w:r>
      <w:r/>
    </w:p>
    <w:p>
      <w:pPr>
        <w:ind w:firstLine="539"/>
      </w:pPr>
      <w:r/>
      <w:r/>
    </w:p>
    <w:p>
      <w:pPr>
        <w:ind w:firstLine="539"/>
        <w:jc w:val="center"/>
      </w:pPr>
      <w:r>
        <w:rPr>
          <w:rFonts w:ascii="Times New Roman" w:hAnsi="Times New Roman" w:cs="Times New Roman"/>
          <w:b/>
          <w:sz w:val="28"/>
          <w:szCs w:val="28"/>
        </w:rPr>
        <w:t xml:space="preserve">14. Порядок подготовки и заключения договора </w:t>
      </w:r>
      <w:r/>
    </w:p>
    <w:p>
      <w:pPr>
        <w:ind w:firstLine="539"/>
        <w:jc w:val="center"/>
      </w:pPr>
      <w:r/>
      <w:r/>
    </w:p>
    <w:p>
      <w:pPr>
        <w:ind w:firstLine="539"/>
      </w:pPr>
      <w:r>
        <w:rPr>
          <w:rFonts w:ascii="Times New Roman" w:hAnsi="Times New Roman" w:cs="Times New Roman"/>
          <w:sz w:val="28"/>
          <w:szCs w:val="28"/>
        </w:rPr>
        <w:t xml:space="preserve">14</w:t>
      </w:r>
      <w:r>
        <w:rPr>
          <w:rFonts w:ascii="Times New Roman" w:hAnsi="Times New Roman" w:cs="Times New Roman"/>
          <w:sz w:val="28"/>
          <w:szCs w:val="28"/>
        </w:rPr>
        <w:t xml:space="preserve">.1. Заключение договора о закреплении доли квоты добычи (вылова) водных биологических ресурсов (далее – Договор) по результатам аукциона </w:t>
      </w:r>
      <w:r>
        <w:rPr>
          <w:rFonts w:ascii="Times New Roman" w:hAnsi="Times New Roman" w:cs="Times New Roman"/>
          <w:sz w:val="28"/>
          <w:szCs w:val="28"/>
        </w:rPr>
        <w:br/>
        <w:t xml:space="preserve">с победителем аукциона осуществляется организатором аукциона</w:t>
      </w:r>
      <w:r>
        <w:rPr>
          <w:rFonts w:ascii="Times New Roman" w:hAnsi="Times New Roman" w:cs="Times New Roman"/>
          <w:sz w:val="28"/>
          <w:szCs w:val="28"/>
        </w:rPr>
        <w:br/>
        <w:t xml:space="preserve">в электронной форме посредством программно-аппаратных сре</w:t>
      </w:r>
      <w:r>
        <w:rPr>
          <w:rFonts w:ascii="Times New Roman" w:hAnsi="Times New Roman" w:cs="Times New Roman"/>
          <w:sz w:val="28"/>
          <w:szCs w:val="28"/>
        </w:rPr>
        <w:t xml:space="preserve">дств электронной площадки с использованием официального сайта. Заключение Договор по результатам аукциона или в случае, если такой аукцион признан не состоявшимся, не допускается ранее чем через 10 дней со дня размещения на официальном сайте информации о р</w:t>
      </w:r>
      <w:r>
        <w:rPr>
          <w:rFonts w:ascii="Times New Roman" w:hAnsi="Times New Roman" w:cs="Times New Roman"/>
          <w:sz w:val="28"/>
          <w:szCs w:val="28"/>
        </w:rPr>
        <w:t xml:space="preserve">езультатах аукциона или о признании такого аукциона несостоявшимся.</w:t>
      </w:r>
      <w:r/>
    </w:p>
    <w:p>
      <w:pPr>
        <w:ind w:firstLine="539"/>
      </w:pPr>
      <w:r>
        <w:rPr>
          <w:rFonts w:ascii="Times New Roman" w:hAnsi="Times New Roman" w:cs="Times New Roman"/>
          <w:sz w:val="28"/>
          <w:szCs w:val="28"/>
        </w:rPr>
        <w:t xml:space="preserve">14.2. Оператор электронной площадки в течение 3 часов со дня  размещения протокола аукциона, указанного в пункте 13.3 Документации об аукционе, на официальном сайте и электронной площадке,</w:t>
      </w:r>
      <w:r>
        <w:rPr>
          <w:rFonts w:ascii="Times New Roman" w:hAnsi="Times New Roman" w:cs="Times New Roman"/>
          <w:sz w:val="28"/>
          <w:szCs w:val="28"/>
        </w:rPr>
        <w:t xml:space="preserve"> уведомляет победителя аукциона о необходимости внесения доплаты (разница между задатком и окончательной стоимостью предмета аукциона) на счет Федерального агентства по рыболовству:</w:t>
      </w:r>
      <w:r/>
    </w:p>
    <w:p>
      <w:pPr>
        <w:pStyle w:val="970"/>
        <w:ind w:firstLine="709"/>
        <w:tabs>
          <w:tab w:val="left" w:pos="0" w:leader="none"/>
        </w:tabs>
      </w:pPr>
      <w:r>
        <w:rPr>
          <w:bCs/>
        </w:rPr>
        <w:t xml:space="preserve">Получатель: Межрегиональное операционное управление Федерального казначейс</w:t>
      </w:r>
      <w:r>
        <w:rPr>
          <w:bCs/>
        </w:rPr>
        <w:t xml:space="preserve">тва (Федеральное агентство по рыболовству, лицевой счет: 05951000760).</w:t>
      </w:r>
      <w:r/>
    </w:p>
    <w:p>
      <w:pPr>
        <w:pStyle w:val="970"/>
        <w:ind w:firstLine="709"/>
        <w:tabs>
          <w:tab w:val="left" w:pos="0" w:leader="none"/>
        </w:tabs>
      </w:pPr>
      <w:r>
        <w:rPr>
          <w:bCs/>
        </w:rPr>
        <w:t xml:space="preserve">Банк получателя: ОПЕРАЦИОННЫЙ ДЕПАРТАМЕНТ БАНКА РОССИИ// Межрегиональное операционное УФК г. Москва, </w:t>
      </w:r>
      <w:r>
        <w:rPr>
          <w:bCs/>
        </w:rPr>
        <w:br/>
        <w:t xml:space="preserve">ИНН </w:t>
      </w:r>
      <w:r>
        <w:t xml:space="preserve">7702679523, КПП 770201001, БИК 024501901, расчетный счет: 03212643000000019502,</w:t>
      </w:r>
      <w:r>
        <w:t xml:space="preserve"> корреспондентский счет: 40102810045370000002 </w:t>
      </w:r>
      <w:r/>
    </w:p>
    <w:p>
      <w:pPr>
        <w:pStyle w:val="970"/>
        <w:ind w:firstLine="709"/>
        <w:tabs>
          <w:tab w:val="left" w:pos="0" w:leader="none"/>
        </w:tabs>
      </w:pPr>
      <w:r>
        <w:rPr>
          <w:color w:val="000000"/>
        </w:rPr>
        <w:t xml:space="preserve">При этом:</w:t>
      </w:r>
      <w:r/>
    </w:p>
    <w:p>
      <w:pPr>
        <w:pStyle w:val="970"/>
        <w:ind w:firstLine="709"/>
        <w:tabs>
          <w:tab w:val="left" w:pos="0" w:leader="none"/>
        </w:tabs>
      </w:pPr>
      <w:r>
        <w:rPr>
          <w:color w:val="000000"/>
        </w:rPr>
        <w:t xml:space="preserve">в графе «ОКТМО» указывается значение «45379000»;</w:t>
      </w:r>
      <w:r/>
    </w:p>
    <w:p>
      <w:pPr>
        <w:pStyle w:val="970"/>
        <w:ind w:firstLine="709"/>
        <w:tabs>
          <w:tab w:val="left" w:pos="0" w:leader="none"/>
        </w:tabs>
      </w:pPr>
      <w:r>
        <w:rPr>
          <w:color w:val="000000"/>
        </w:rPr>
        <w:t xml:space="preserve">в графе «Код бюджетной классификации (КБК)» указывается значение «07600000000000000000»;</w:t>
      </w:r>
      <w:r>
        <w:t xml:space="preserve"> </w:t>
      </w:r>
      <w:r/>
    </w:p>
    <w:p>
      <w:pPr>
        <w:ind w:firstLine="539"/>
      </w:pPr>
      <w:r>
        <w:rPr>
          <w:rFonts w:ascii="Times New Roman" w:hAnsi="Times New Roman" w:cs="Times New Roman"/>
          <w:color w:val="000000"/>
          <w:sz w:val="28"/>
          <w:szCs w:val="28"/>
        </w:rPr>
        <w:t xml:space="preserve">в поле 22 «Код» реквизитов получателя необходимо указать код</w:t>
      </w:r>
      <w:r>
        <w:rPr>
          <w:rFonts w:ascii="Times New Roman" w:hAnsi="Times New Roman" w:cs="Times New Roman"/>
          <w:color w:val="000000"/>
          <w:sz w:val="28"/>
          <w:szCs w:val="28"/>
        </w:rPr>
        <w:t xml:space="preserve"> нормативного акта </w:t>
      </w:r>
      <w:r>
        <w:rPr>
          <w:rFonts w:ascii="Times New Roman" w:hAnsi="Times New Roman" w:cs="Times New Roman"/>
          <w:color w:val="000000"/>
          <w:sz w:val="28"/>
          <w:szCs w:val="28"/>
          <w:highlight w:val="white"/>
        </w:rPr>
        <w:t xml:space="preserve">«0005».</w:t>
      </w:r>
      <w:r/>
    </w:p>
    <w:p>
      <w:pPr>
        <w:pStyle w:val="965"/>
        <w:ind w:firstLine="540"/>
        <w:jc w:val="both"/>
        <w:tabs>
          <w:tab w:val="left" w:pos="3489" w:leader="none"/>
        </w:tabs>
      </w:pPr>
      <w:r>
        <w:rPr>
          <w:rFonts w:ascii="Times New Roman" w:hAnsi="Times New Roman" w:cs="Times New Roman"/>
          <w:sz w:val="28"/>
          <w:szCs w:val="28"/>
        </w:rPr>
        <w:t xml:space="preserve">14.3. Победитель аукциона обязан в течение 10 рабочих дней со дня получения от оператора электронной площадки уведомления, указанного</w:t>
      </w:r>
      <w:r>
        <w:rPr>
          <w:rFonts w:ascii="Times New Roman" w:hAnsi="Times New Roman" w:cs="Times New Roman"/>
          <w:sz w:val="28"/>
          <w:szCs w:val="28"/>
        </w:rPr>
        <w:br/>
        <w:t xml:space="preserve">в </w:t>
      </w:r>
      <w:hyperlink w:tooltip="#P276" w:anchor="P276" w:history="1">
        <w:r>
          <w:rPr>
            <w:rFonts w:ascii="Times New Roman" w:hAnsi="Times New Roman" w:cs="Times New Roman"/>
            <w:sz w:val="28"/>
            <w:szCs w:val="28"/>
          </w:rPr>
          <w:t xml:space="preserve">пункте </w:t>
        </w:r>
      </w:hyperlink>
      <w:r>
        <w:rPr>
          <w:rFonts w:ascii="Times New Roman" w:hAnsi="Times New Roman" w:cs="Times New Roman"/>
          <w:sz w:val="28"/>
          <w:szCs w:val="28"/>
        </w:rPr>
        <w:t xml:space="preserve">14.2. Документации об аукционе, внести доплату на с</w:t>
      </w:r>
      <w:r>
        <w:rPr>
          <w:rFonts w:ascii="Times New Roman" w:hAnsi="Times New Roman" w:cs="Times New Roman"/>
          <w:sz w:val="28"/>
          <w:szCs w:val="28"/>
        </w:rPr>
        <w:t xml:space="preserve">чет Федерального</w:t>
      </w:r>
      <w:r>
        <w:rPr>
          <w:rFonts w:ascii="Times New Roman" w:hAnsi="Times New Roman" w:cs="Times New Roman"/>
          <w:color w:val="ff0000"/>
          <w:sz w:val="28"/>
          <w:szCs w:val="28"/>
        </w:rPr>
        <w:t xml:space="preserve"> </w:t>
      </w:r>
      <w:r>
        <w:rPr>
          <w:rFonts w:ascii="Times New Roman" w:hAnsi="Times New Roman" w:cs="Times New Roman"/>
          <w:sz w:val="28"/>
          <w:szCs w:val="28"/>
        </w:rPr>
        <w:t xml:space="preserve">агентства по рыболовству.</w:t>
      </w:r>
      <w:r>
        <w:tab/>
      </w:r>
      <w:r/>
    </w:p>
    <w:p>
      <w:pPr>
        <w:pStyle w:val="965"/>
        <w:ind w:firstLine="540"/>
        <w:jc w:val="both"/>
      </w:pPr>
      <w:r>
        <w:rPr>
          <w:rFonts w:ascii="Times New Roman" w:hAnsi="Times New Roman" w:cs="Times New Roman"/>
          <w:sz w:val="28"/>
          <w:szCs w:val="28"/>
        </w:rPr>
        <w:t xml:space="preserve">В случае если победитель аукциона, находящийся под контролем иностранного инвестора или группы лиц, в которую входит иностранный инвестор, или в совокупности победитель аукциона, находящийся под контролем иностра</w:t>
      </w:r>
      <w:r>
        <w:rPr>
          <w:rFonts w:ascii="Times New Roman" w:hAnsi="Times New Roman" w:cs="Times New Roman"/>
          <w:sz w:val="28"/>
          <w:szCs w:val="28"/>
        </w:rPr>
        <w:t xml:space="preserve">нного инвестора или группы лиц, в которую входит иностранный инвестор, и лица, входящие в одну группу лиц с таким победителем аукциона, будут обладать с учетом проведенного аукциона правами на добычу (вылов) определенных в соответствии с </w:t>
      </w:r>
      <w:hyperlink r:id="rId23" w:tooltip="consultantplus://offline/ref=1F0BBD39352E8C5FB8A9897FEFED1EA0A86E7A71983C4FF082C6432FC04F4082AFAD3A1FB8E6D914BE4CFDCC8A1FC7268E750FA8BECCK3G" w:history="1">
        <w:r>
          <w:rPr>
            <w:rFonts w:ascii="Times New Roman" w:hAnsi="Times New Roman" w:cs="Times New Roman"/>
            <w:sz w:val="28"/>
            <w:szCs w:val="28"/>
          </w:rPr>
          <w:t xml:space="preserve">частью 7 статьи 7</w:t>
        </w:r>
      </w:hyperlink>
      <w:r>
        <w:rPr>
          <w:rFonts w:ascii="Times New Roman" w:hAnsi="Times New Roman" w:cs="Times New Roman"/>
          <w:sz w:val="28"/>
          <w:szCs w:val="28"/>
        </w:rPr>
        <w:t xml:space="preserve"> Закона о порядке осуществления иностранных инвестиций видов водных биологических ресурсов во всех районах их добычи (вылова) в границах рыбохозяйственного бассейна в объеме общего допустимого улова указанных в</w:t>
      </w:r>
      <w:r>
        <w:rPr>
          <w:rFonts w:ascii="Times New Roman" w:hAnsi="Times New Roman" w:cs="Times New Roman"/>
          <w:sz w:val="28"/>
          <w:szCs w:val="28"/>
        </w:rPr>
        <w:t xml:space="preserve">одных биологических ресурсов, распределенном применительно к видам квот, в размере более 35 процентов суммарного объема общего допустимого улова соответствующего вида водных биологических ресурсов, то Договор с таким победителем аукциона заключается только</w:t>
      </w:r>
      <w:r>
        <w:rPr>
          <w:rFonts w:ascii="Times New Roman" w:hAnsi="Times New Roman" w:cs="Times New Roman"/>
          <w:sz w:val="28"/>
          <w:szCs w:val="28"/>
        </w:rPr>
        <w:t xml:space="preserve"> при наличии у него соответствующего положительного решения Правительственной комиссии. Победитель аукциона в течение 10 рабочих дней со дня получения положительного решения Правительственной комиссии в установленном порядке направляет его в Федеральное аг</w:t>
      </w:r>
      <w:r>
        <w:rPr>
          <w:rFonts w:ascii="Times New Roman" w:hAnsi="Times New Roman" w:cs="Times New Roman"/>
          <w:sz w:val="28"/>
          <w:szCs w:val="28"/>
        </w:rPr>
        <w:t xml:space="preserve">ентство по рыболовству и вносит доплату на счет Федерального агентства по рыболовству и заключает Договор </w:t>
      </w:r>
      <w:r>
        <w:rPr>
          <w:rFonts w:ascii="Times New Roman" w:hAnsi="Times New Roman" w:cs="Times New Roman"/>
          <w:sz w:val="28"/>
          <w:szCs w:val="28"/>
        </w:rPr>
        <w:br/>
        <w:t xml:space="preserve">в сроки и порядке, которые указаны в </w:t>
      </w:r>
      <w:hyperlink w:tooltip="#P284" w:anchor="P284" w:history="1">
        <w:r>
          <w:rPr>
            <w:rFonts w:ascii="Times New Roman" w:hAnsi="Times New Roman" w:cs="Times New Roman"/>
            <w:sz w:val="28"/>
            <w:szCs w:val="28"/>
          </w:rPr>
          <w:t xml:space="preserve">пунктах </w:t>
        </w:r>
      </w:hyperlink>
      <w:r>
        <w:rPr>
          <w:rFonts w:ascii="Times New Roman" w:hAnsi="Times New Roman" w:cs="Times New Roman"/>
          <w:sz w:val="28"/>
          <w:szCs w:val="28"/>
        </w:rPr>
        <w:t xml:space="preserve">14.4 – </w:t>
      </w:r>
      <w:hyperlink w:tooltip="#P287" w:anchor="P287" w:history="1">
        <w:r>
          <w:rPr>
            <w:rFonts w:ascii="Times New Roman" w:hAnsi="Times New Roman" w:cs="Times New Roman"/>
            <w:sz w:val="28"/>
            <w:szCs w:val="28"/>
          </w:rPr>
          <w:t xml:space="preserve">14.6 </w:t>
        </w:r>
        <w:r>
          <w:rPr>
            <w:rFonts w:ascii="Times New Roman" w:hAnsi="Times New Roman" w:cs="Times New Roman"/>
            <w:sz w:val="28"/>
            <w:szCs w:val="28"/>
          </w:rPr>
          <w:t xml:space="preserve">Документации об аукционе.</w:t>
        </w:r>
      </w:hyperlink>
      <w:r/>
      <w:r/>
    </w:p>
    <w:p>
      <w:pPr>
        <w:pStyle w:val="965"/>
        <w:ind w:firstLine="540"/>
        <w:jc w:val="both"/>
      </w:pPr>
      <w:r>
        <w:rPr>
          <w:rFonts w:ascii="Times New Roman" w:hAnsi="Times New Roman" w:cs="Times New Roman"/>
          <w:sz w:val="28"/>
          <w:szCs w:val="28"/>
        </w:rPr>
        <w:t xml:space="preserve">В случае отказа Правительственной комиссии в предварительном согласовании совершения сделки победитель аукциона направляет отказ Правительственной комиссии в Федеральное агентство по рыболовству. </w:t>
      </w:r>
      <w:r>
        <w:rPr>
          <w:rFonts w:ascii="Times New Roman" w:hAnsi="Times New Roman" w:cs="Times New Roman"/>
          <w:sz w:val="28"/>
          <w:szCs w:val="28"/>
        </w:rPr>
        <w:tab/>
        <w:t xml:space="preserve">Федеральное агентство по рыболовс</w:t>
      </w:r>
      <w:r>
        <w:rPr>
          <w:rFonts w:ascii="Times New Roman" w:hAnsi="Times New Roman" w:cs="Times New Roman"/>
          <w:sz w:val="28"/>
          <w:szCs w:val="28"/>
        </w:rPr>
        <w:t xml:space="preserve">тву в течение 5 рабочих дней со дня получения отказа Правительственной комиссии осуществляет возврат задатка победителя аукциона на специальный счет, а также предлагает посредством официального сайта участнику аукциона, сделавшему предпоследнее предложение</w:t>
      </w:r>
      <w:r>
        <w:rPr>
          <w:rFonts w:ascii="Times New Roman" w:hAnsi="Times New Roman" w:cs="Times New Roman"/>
          <w:sz w:val="28"/>
          <w:szCs w:val="28"/>
        </w:rPr>
        <w:t xml:space="preserve"> о цене предмета аукциона (лота), заключить Договор </w:t>
      </w:r>
      <w:r>
        <w:rPr>
          <w:rFonts w:ascii="Times New Roman" w:hAnsi="Times New Roman" w:cs="Times New Roman"/>
          <w:sz w:val="28"/>
          <w:szCs w:val="28"/>
        </w:rPr>
        <w:br/>
        <w:t xml:space="preserve">и перечислить денежные средства в размере предложенной участником аукциона в процессе аукциона цены предмета аукциона (лота) на счет Федерального агентства по рыболовству в сроки и порядке, которые указа</w:t>
      </w:r>
      <w:r>
        <w:rPr>
          <w:rFonts w:ascii="Times New Roman" w:hAnsi="Times New Roman" w:cs="Times New Roman"/>
          <w:sz w:val="28"/>
          <w:szCs w:val="28"/>
        </w:rPr>
        <w:t xml:space="preserve">ны в </w:t>
      </w:r>
      <w:hyperlink w:tooltip="#P294" w:anchor="P294" w:history="1">
        <w:r>
          <w:rPr>
            <w:rFonts w:ascii="Times New Roman" w:hAnsi="Times New Roman" w:cs="Times New Roman"/>
            <w:sz w:val="28"/>
            <w:szCs w:val="28"/>
          </w:rPr>
          <w:t xml:space="preserve">пункте 14.8</w:t>
        </w:r>
      </w:hyperlink>
      <w:r>
        <w:rPr>
          <w:rFonts w:ascii="Times New Roman" w:hAnsi="Times New Roman" w:cs="Times New Roman"/>
          <w:sz w:val="28"/>
          <w:szCs w:val="28"/>
        </w:rPr>
        <w:t xml:space="preserve"> Документации об аукционе.</w:t>
      </w:r>
      <w:r/>
    </w:p>
    <w:p>
      <w:pPr>
        <w:pStyle w:val="965"/>
        <w:ind w:firstLine="539"/>
        <w:jc w:val="both"/>
      </w:pPr>
      <w:r>
        <w:rPr>
          <w:rFonts w:ascii="Times New Roman" w:hAnsi="Times New Roman" w:cs="Times New Roman"/>
          <w:sz w:val="28"/>
          <w:szCs w:val="28"/>
        </w:rPr>
        <w:t xml:space="preserve">14.4. Федеральное агентство по рыболовству не позднее 5 рабочих дней, следующих за днем поступления доплаты на счет организатора аукциона формирует в электронном форме посредство</w:t>
      </w:r>
      <w:r>
        <w:rPr>
          <w:rFonts w:ascii="Times New Roman" w:hAnsi="Times New Roman" w:cs="Times New Roman"/>
          <w:sz w:val="28"/>
          <w:szCs w:val="28"/>
        </w:rPr>
        <w:t xml:space="preserve">м программно-аппаратных средств электронной площадки с использованием официального сайта и направляет  без своей подписи на подписание победителю аукциона проект Договора.</w:t>
      </w:r>
      <w:r/>
    </w:p>
    <w:p>
      <w:pPr>
        <w:ind w:firstLine="539"/>
      </w:pPr>
      <w:r>
        <w:rPr>
          <w:rFonts w:ascii="Times New Roman" w:hAnsi="Times New Roman" w:cs="Times New Roman"/>
          <w:color w:val="000000" w:themeColor="text1"/>
          <w:sz w:val="28"/>
          <w:szCs w:val="28"/>
        </w:rPr>
        <w:t xml:space="preserve">14.5. Победитель </w:t>
      </w:r>
      <w:r>
        <w:rPr>
          <w:rFonts w:ascii="Times New Roman" w:hAnsi="Times New Roman" w:cs="Times New Roman"/>
          <w:sz w:val="28"/>
          <w:szCs w:val="28"/>
        </w:rPr>
        <w:t xml:space="preserve">аукциона, с которым заключается Договор, в электронной форме посред</w:t>
      </w:r>
      <w:r>
        <w:rPr>
          <w:rFonts w:ascii="Times New Roman" w:hAnsi="Times New Roman" w:cs="Times New Roman"/>
          <w:sz w:val="28"/>
          <w:szCs w:val="28"/>
        </w:rPr>
        <w:t xml:space="preserve">ством программно-аппаратных средств электронной площадки с использованием официального сайта, не позднее 5 рабочих дней, следующих за днем направления организатором аукциона в соответствии с пунктом 14.4. Документации об аукционе проекта Договора, подписыв</w:t>
      </w:r>
      <w:r>
        <w:rPr>
          <w:rFonts w:ascii="Times New Roman" w:hAnsi="Times New Roman" w:cs="Times New Roman"/>
          <w:sz w:val="28"/>
          <w:szCs w:val="28"/>
        </w:rPr>
        <w:t xml:space="preserve">ает усиленной квалифицированной электронной подписью</w:t>
      </w:r>
      <w:r>
        <w:t xml:space="preserve"> </w:t>
      </w:r>
      <w:r>
        <w:rPr>
          <w:rFonts w:ascii="Times New Roman" w:hAnsi="Times New Roman" w:cs="Times New Roman"/>
          <w:sz w:val="28"/>
          <w:szCs w:val="28"/>
        </w:rPr>
        <w:t xml:space="preserve">лица, имеющего право действовать от имени победителя аукциона, Договор.</w:t>
      </w:r>
      <w:r/>
    </w:p>
    <w:p>
      <w:pPr>
        <w:pStyle w:val="965"/>
        <w:ind w:firstLine="540"/>
        <w:jc w:val="both"/>
      </w:pPr>
      <w:r>
        <w:rPr>
          <w:rFonts w:ascii="Times New Roman" w:hAnsi="Times New Roman" w:cs="Times New Roman"/>
          <w:sz w:val="28"/>
          <w:szCs w:val="28"/>
        </w:rPr>
        <w:t xml:space="preserve">14.6. Федеральное агентство по рыболовству не позднее 5 рабочих дней, следующих за подписанием победителем аукциона Договора в элек</w:t>
      </w:r>
      <w:r>
        <w:rPr>
          <w:rFonts w:ascii="Times New Roman" w:hAnsi="Times New Roman" w:cs="Times New Roman"/>
          <w:sz w:val="28"/>
          <w:szCs w:val="28"/>
        </w:rPr>
        <w:t xml:space="preserve">тронной форме посредством программно-аппаратных средств электронной площадки с использованием официального сайта подписывает Договор усиленной квалифицированной электронной подписью</w:t>
      </w:r>
      <w:r>
        <w:t xml:space="preserve"> </w:t>
      </w:r>
      <w:r>
        <w:rPr>
          <w:rFonts w:ascii="Times New Roman" w:hAnsi="Times New Roman" w:cs="Times New Roman"/>
          <w:sz w:val="28"/>
          <w:szCs w:val="28"/>
        </w:rPr>
        <w:t xml:space="preserve">лица, имеющего право действовать от имени организатора аукциона.</w:t>
      </w:r>
      <w:r/>
    </w:p>
    <w:p>
      <w:pPr>
        <w:pStyle w:val="965"/>
        <w:ind w:firstLine="540"/>
        <w:jc w:val="both"/>
      </w:pPr>
      <w:r>
        <w:rPr>
          <w:rFonts w:ascii="Times New Roman" w:hAnsi="Times New Roman" w:cs="Times New Roman"/>
          <w:sz w:val="28"/>
          <w:szCs w:val="28"/>
        </w:rPr>
        <w:t xml:space="preserve">Договор с</w:t>
      </w:r>
      <w:r>
        <w:rPr>
          <w:rFonts w:ascii="Times New Roman" w:hAnsi="Times New Roman" w:cs="Times New Roman"/>
          <w:sz w:val="28"/>
          <w:szCs w:val="28"/>
        </w:rPr>
        <w:t xml:space="preserve">читается заключенным в день его подписания организатором аукциона посредством программно-аппаратных средств электронной площадки с использованием официального сайта.</w:t>
      </w:r>
      <w:r/>
    </w:p>
    <w:p>
      <w:pPr>
        <w:pStyle w:val="965"/>
        <w:ind w:firstLine="540"/>
        <w:jc w:val="both"/>
      </w:pPr>
      <w:r>
        <w:rPr>
          <w:rFonts w:ascii="Times New Roman" w:hAnsi="Times New Roman" w:cs="Times New Roman"/>
          <w:sz w:val="28"/>
          <w:szCs w:val="28"/>
        </w:rPr>
        <w:t xml:space="preserve">Внесение изменений в заключенный До</w:t>
      </w:r>
      <w:r>
        <w:rPr>
          <w:rFonts w:ascii="Times New Roman" w:hAnsi="Times New Roman" w:cs="Times New Roman"/>
          <w:sz w:val="28"/>
          <w:szCs w:val="28"/>
        </w:rPr>
        <w:t xml:space="preserve">говор осуществляется в электронной форме посредством программно-аппаратных средств электронной площадки с использованием официального сайта.</w:t>
      </w:r>
      <w:r/>
    </w:p>
    <w:p>
      <w:pPr>
        <w:pStyle w:val="965"/>
        <w:ind w:firstLine="540"/>
        <w:jc w:val="both"/>
      </w:pPr>
      <w:r>
        <w:rPr>
          <w:rFonts w:ascii="Times New Roman" w:hAnsi="Times New Roman" w:cs="Times New Roman"/>
          <w:sz w:val="28"/>
          <w:szCs w:val="28"/>
        </w:rPr>
        <w:t xml:space="preserve">Федеральное агентство по рыболовству в течение 5 рабочих дней со дня заключения Договора размещает на официальном с</w:t>
      </w:r>
      <w:r>
        <w:rPr>
          <w:rFonts w:ascii="Times New Roman" w:hAnsi="Times New Roman" w:cs="Times New Roman"/>
          <w:sz w:val="28"/>
          <w:szCs w:val="28"/>
        </w:rPr>
        <w:t xml:space="preserve">айте информацию о таком заключении и вносит соответствующие сведения в государственный рыбохозяйственный реестр.</w:t>
      </w:r>
      <w:r/>
    </w:p>
    <w:p>
      <w:pPr>
        <w:pStyle w:val="965"/>
        <w:ind w:firstLine="540"/>
        <w:jc w:val="both"/>
      </w:pPr>
      <w:r>
        <w:rPr>
          <w:rFonts w:ascii="Times New Roman" w:hAnsi="Times New Roman" w:cs="Times New Roman"/>
          <w:sz w:val="28"/>
          <w:szCs w:val="28"/>
        </w:rPr>
        <w:t xml:space="preserve">14.7. В случае если победитель аукциона не подписал проект Договора </w:t>
      </w:r>
      <w:r>
        <w:rPr>
          <w:rFonts w:ascii="Times New Roman" w:hAnsi="Times New Roman" w:cs="Times New Roman"/>
          <w:sz w:val="28"/>
          <w:szCs w:val="28"/>
        </w:rPr>
        <w:br/>
        <w:t xml:space="preserve">и (или) отказался от осуществления доплаты, он признается уклонившимся</w:t>
      </w:r>
      <w:r>
        <w:rPr>
          <w:rFonts w:ascii="Times New Roman" w:hAnsi="Times New Roman" w:cs="Times New Roman"/>
          <w:sz w:val="28"/>
          <w:szCs w:val="28"/>
        </w:rPr>
        <w:br/>
        <w:t xml:space="preserve">от </w:t>
      </w:r>
      <w:r>
        <w:rPr>
          <w:rFonts w:ascii="Times New Roman" w:hAnsi="Times New Roman" w:cs="Times New Roman"/>
          <w:sz w:val="28"/>
          <w:szCs w:val="28"/>
        </w:rPr>
        <w:t xml:space="preserve">заключения Договора, о чем Федеральное агентство по рыболовству составляет акт об уклонении участника аукциона от заключения Договора,  размещает его на официальном сайте и н</w:t>
      </w:r>
      <w:r>
        <w:rPr>
          <w:rStyle w:val="1013"/>
          <w:sz w:val="28"/>
          <w:szCs w:val="28"/>
        </w:rPr>
        <w:t xml:space="preserve">аправляет сведения</w:t>
      </w:r>
      <w:r>
        <w:rPr>
          <w:rFonts w:ascii="Times New Roman" w:hAnsi="Times New Roman" w:cs="Times New Roman"/>
          <w:sz w:val="28"/>
          <w:szCs w:val="28"/>
        </w:rPr>
        <w:t xml:space="preserve"> </w:t>
      </w:r>
      <w:r>
        <w:rPr>
          <w:rStyle w:val="1013"/>
          <w:sz w:val="28"/>
          <w:szCs w:val="28"/>
        </w:rPr>
        <w:t xml:space="preserve">об участнике аукциона, ставшим победителем аукциона и уклонивши</w:t>
      </w:r>
      <w:r>
        <w:rPr>
          <w:rStyle w:val="1013"/>
          <w:sz w:val="28"/>
          <w:szCs w:val="28"/>
        </w:rPr>
        <w:t xml:space="preserve">м от заключения Договора в реестр недобросовестных участников аукционов в порядке, установленном в соответствии с частью  4 статьи 38</w:t>
      </w:r>
      <w:r>
        <w:rPr>
          <w:rStyle w:val="1013"/>
          <w:sz w:val="28"/>
          <w:szCs w:val="28"/>
          <w:vertAlign w:val="superscript"/>
        </w:rPr>
        <w:t xml:space="preserve">3</w:t>
      </w:r>
      <w:r>
        <w:rPr>
          <w:rStyle w:val="1013"/>
          <w:sz w:val="28"/>
          <w:szCs w:val="28"/>
        </w:rPr>
        <w:t xml:space="preserve"> Закона о рыболовстве.</w:t>
      </w:r>
      <w:r/>
    </w:p>
    <w:p>
      <w:pPr>
        <w:pStyle w:val="965"/>
        <w:ind w:firstLine="540"/>
        <w:jc w:val="both"/>
      </w:pPr>
      <w:r>
        <w:rPr>
          <w:rStyle w:val="1013"/>
          <w:sz w:val="28"/>
          <w:szCs w:val="28"/>
        </w:rPr>
        <w:t xml:space="preserve">Оператор электронной площадки в течение одного часа с момента размещения </w:t>
      </w:r>
      <w:r>
        <w:rPr>
          <w:rFonts w:ascii="Times New Roman" w:hAnsi="Times New Roman" w:cs="Times New Roman"/>
          <w:sz w:val="28"/>
          <w:szCs w:val="28"/>
        </w:rPr>
        <w:t xml:space="preserve">акта об уклонении участник</w:t>
      </w:r>
      <w:r>
        <w:rPr>
          <w:rFonts w:ascii="Times New Roman" w:hAnsi="Times New Roman" w:cs="Times New Roman"/>
          <w:sz w:val="28"/>
          <w:szCs w:val="28"/>
        </w:rPr>
        <w:t xml:space="preserve">а аукциона от заключения Договора</w:t>
      </w:r>
      <w:r>
        <w:rPr>
          <w:rStyle w:val="1013"/>
          <w:sz w:val="28"/>
          <w:szCs w:val="28"/>
        </w:rPr>
        <w:t xml:space="preserve"> на официальном сайте размещает указанный акт на электронной площадке.</w:t>
      </w:r>
      <w:r/>
    </w:p>
    <w:p>
      <w:pPr>
        <w:pStyle w:val="965"/>
        <w:ind w:firstLine="540"/>
        <w:jc w:val="both"/>
      </w:pPr>
      <w:r>
        <w:rPr>
          <w:rFonts w:ascii="Times New Roman" w:hAnsi="Times New Roman" w:cs="Times New Roman"/>
          <w:sz w:val="28"/>
          <w:szCs w:val="28"/>
        </w:rPr>
        <w:t xml:space="preserve">14.8. В случае признания победителя аукциона уклонившимся от заключения Договора, Федеральное агентство по рыболовству не позднее 3 рабочих дней со дня </w:t>
      </w:r>
      <w:r>
        <w:rPr>
          <w:rFonts w:ascii="Times New Roman" w:hAnsi="Times New Roman" w:cs="Times New Roman"/>
          <w:sz w:val="28"/>
          <w:szCs w:val="28"/>
        </w:rPr>
        <w:t xml:space="preserve">составления акта об уклонении участника аукциона от заключения Договора предлагает посредством программно-аппаратных средств электронной площадки с использованием официального сайта участнику аукциона, сделавшему предпоследнее предложение о цене предмета а</w:t>
      </w:r>
      <w:r>
        <w:rPr>
          <w:rFonts w:ascii="Times New Roman" w:hAnsi="Times New Roman" w:cs="Times New Roman"/>
          <w:sz w:val="28"/>
          <w:szCs w:val="28"/>
        </w:rPr>
        <w:t xml:space="preserve">укциона (лота), заключить Договор и перечислить денежные средства в размере предложенной им в процессе аукциона цены предмета аукциона (лота) на счет Федерального агентства по рыболовству.</w:t>
      </w:r>
      <w:r/>
    </w:p>
    <w:p>
      <w:pPr>
        <w:pStyle w:val="965"/>
        <w:ind w:firstLine="540"/>
        <w:jc w:val="both"/>
      </w:pPr>
      <w:r>
        <w:rPr>
          <w:rFonts w:ascii="Times New Roman" w:hAnsi="Times New Roman" w:cs="Times New Roman"/>
          <w:sz w:val="28"/>
          <w:szCs w:val="28"/>
        </w:rPr>
        <w:t xml:space="preserve">В случае согласия заключить Договор участник аукциона обязан в тече</w:t>
      </w:r>
      <w:r>
        <w:rPr>
          <w:rFonts w:ascii="Times New Roman" w:hAnsi="Times New Roman" w:cs="Times New Roman"/>
          <w:sz w:val="28"/>
          <w:szCs w:val="28"/>
        </w:rPr>
        <w:t xml:space="preserve">ние 10 календарных дней со дня направления предложения внести на счет Федерального агентства по рыболовству плату за предмет аукциона (лот) в размере предложенной в ходе аукциона цены предмета аукциона (лота).</w:t>
      </w:r>
      <w:r/>
    </w:p>
    <w:p>
      <w:pPr>
        <w:pStyle w:val="965"/>
        <w:ind w:firstLine="540"/>
        <w:jc w:val="both"/>
      </w:pPr>
      <w:r>
        <w:rPr>
          <w:rFonts w:ascii="Times New Roman" w:hAnsi="Times New Roman" w:cs="Times New Roman"/>
          <w:sz w:val="28"/>
          <w:szCs w:val="28"/>
        </w:rPr>
        <w:t xml:space="preserve">После поступления платы за предмет аукциона (л</w:t>
      </w:r>
      <w:r>
        <w:rPr>
          <w:rFonts w:ascii="Times New Roman" w:hAnsi="Times New Roman" w:cs="Times New Roman"/>
          <w:sz w:val="28"/>
          <w:szCs w:val="28"/>
        </w:rPr>
        <w:t xml:space="preserve">от) в размере предложенной в ходе аукциона цены предмета аукциона (лота) участник аукциона, сделавший предпоследнее предложение о цене предмета аукциона (лота), признается победителем аукциона, и Федеральное агентство по рыболовству заключает Договор в сро</w:t>
      </w:r>
      <w:r>
        <w:rPr>
          <w:rFonts w:ascii="Times New Roman" w:hAnsi="Times New Roman" w:cs="Times New Roman"/>
          <w:sz w:val="28"/>
          <w:szCs w:val="28"/>
        </w:rPr>
        <w:t xml:space="preserve">ки и порядке, которые указаны в </w:t>
      </w:r>
      <w:hyperlink w:tooltip="#P284" w:anchor="P284" w:history="1">
        <w:r>
          <w:rPr>
            <w:rFonts w:ascii="Times New Roman" w:hAnsi="Times New Roman" w:cs="Times New Roman"/>
            <w:sz w:val="28"/>
            <w:szCs w:val="28"/>
          </w:rPr>
          <w:t xml:space="preserve">пунктах 14.4 – 14.6 Документации об аукционе.</w:t>
        </w:r>
      </w:hyperlink>
      <w:r/>
      <w:r/>
    </w:p>
    <w:p>
      <w:pPr>
        <w:pStyle w:val="965"/>
        <w:ind w:firstLine="540"/>
        <w:jc w:val="both"/>
      </w:pPr>
      <w:r>
        <w:rPr>
          <w:rFonts w:ascii="Times New Roman" w:hAnsi="Times New Roman" w:cs="Times New Roman"/>
          <w:sz w:val="28"/>
          <w:szCs w:val="28"/>
        </w:rPr>
        <w:t xml:space="preserve">В случае отказа участника аукциона, сделавшего предпоследнее предложение о цене предмета аукциона (лота), от заключения Договора  Федеральное а</w:t>
      </w:r>
      <w:r>
        <w:rPr>
          <w:rFonts w:ascii="Times New Roman" w:hAnsi="Times New Roman" w:cs="Times New Roman"/>
          <w:sz w:val="28"/>
          <w:szCs w:val="28"/>
        </w:rPr>
        <w:t xml:space="preserve">гентство по рыболовству реализует предмет аукциона (лот) повторно.</w:t>
      </w:r>
      <w:r/>
    </w:p>
    <w:p>
      <w:pPr>
        <w:ind w:firstLine="539"/>
      </w:pPr>
      <w:r>
        <w:rPr>
          <w:rFonts w:ascii="Times New Roman" w:hAnsi="Times New Roman" w:cs="Times New Roman"/>
          <w:sz w:val="28"/>
          <w:szCs w:val="28"/>
        </w:rPr>
        <w:t xml:space="preserve">14.9. Полученные от продажи права на заключение Договора средства Федеральное агентство по рыболовству перечисляет в установленном порядке в федеральный бюджет в течение 60 рабочих дней со </w:t>
      </w:r>
      <w:r>
        <w:rPr>
          <w:rFonts w:ascii="Times New Roman" w:hAnsi="Times New Roman" w:cs="Times New Roman"/>
          <w:sz w:val="28"/>
          <w:szCs w:val="28"/>
        </w:rPr>
        <w:t xml:space="preserve">дня заключения на официальном сайте Договора. </w:t>
      </w:r>
      <w:r/>
    </w:p>
    <w:p>
      <w:pPr>
        <w:pStyle w:val="965"/>
        <w:ind w:firstLine="540"/>
        <w:jc w:val="both"/>
      </w:pPr>
      <w:r>
        <w:rPr>
          <w:rFonts w:ascii="Times New Roman" w:hAnsi="Times New Roman" w:cs="Times New Roman"/>
          <w:sz w:val="28"/>
          <w:szCs w:val="28"/>
        </w:rPr>
        <w:t xml:space="preserve">14.10. Победителю аукциона, признанному уклонившимся от заключения Договора, задаток не возвращается и перечисляется организатором аукциона в установленном порядке в соответствующий бюджет в течение 60 рабочих</w:t>
      </w:r>
      <w:r>
        <w:rPr>
          <w:rFonts w:ascii="Times New Roman" w:hAnsi="Times New Roman" w:cs="Times New Roman"/>
          <w:sz w:val="28"/>
          <w:szCs w:val="28"/>
        </w:rPr>
        <w:t xml:space="preserve"> дней со дня признания такого победителя аукциона уклонившимся от заключения Договора.</w:t>
      </w:r>
      <w:r/>
    </w:p>
    <w:p>
      <w:pPr>
        <w:pStyle w:val="965"/>
        <w:ind w:firstLine="567"/>
        <w:jc w:val="both"/>
      </w:pPr>
      <w:r>
        <w:rPr>
          <w:rFonts w:ascii="Times New Roman" w:hAnsi="Times New Roman" w:cs="Times New Roman"/>
          <w:sz w:val="28"/>
          <w:szCs w:val="28"/>
        </w:rPr>
        <w:t xml:space="preserve">14.11. Ответственность за полноту и своевременность перечисления в доход федерального бюджета средств, полученных от продажи права на заключение Договора</w:t>
      </w:r>
      <w:r>
        <w:rPr>
          <w:rFonts w:ascii="Times New Roman" w:hAnsi="Times New Roman" w:cs="Times New Roman"/>
          <w:color w:val="000000" w:themeColor="text1"/>
          <w:sz w:val="28"/>
          <w:szCs w:val="28"/>
        </w:rPr>
        <w:t xml:space="preserve">,</w:t>
      </w:r>
      <w:r>
        <w:rPr>
          <w:rFonts w:ascii="Times New Roman" w:hAnsi="Times New Roman" w:cs="Times New Roman"/>
          <w:sz w:val="28"/>
          <w:szCs w:val="28"/>
        </w:rPr>
        <w:t xml:space="preserve"> несет Федераль</w:t>
      </w:r>
      <w:r>
        <w:rPr>
          <w:rFonts w:ascii="Times New Roman" w:hAnsi="Times New Roman" w:cs="Times New Roman"/>
          <w:sz w:val="28"/>
          <w:szCs w:val="28"/>
        </w:rPr>
        <w:t xml:space="preserve">ное агентство по рыболовству.</w:t>
      </w:r>
      <w:r/>
    </w:p>
    <w:p>
      <w:pPr>
        <w:pStyle w:val="965"/>
        <w:ind w:firstLine="540"/>
        <w:jc w:val="both"/>
      </w:pPr>
      <w:r>
        <w:rPr>
          <w:rFonts w:ascii="Times New Roman" w:hAnsi="Times New Roman" w:cs="Times New Roman"/>
          <w:sz w:val="28"/>
          <w:szCs w:val="28"/>
        </w:rPr>
        <w:t xml:space="preserve">14.12. Аукцион признается несостоявшимся, если:</w:t>
      </w:r>
      <w:r/>
    </w:p>
    <w:p>
      <w:pPr>
        <w:ind w:firstLine="709"/>
        <w:spacing w:line="360" w:lineRule="exact"/>
      </w:pPr>
      <w:r>
        <w:rPr>
          <w:rFonts w:ascii="Times New Roman" w:hAnsi="Times New Roman"/>
          <w:sz w:val="28"/>
          <w:szCs w:val="28"/>
        </w:rPr>
        <w:t xml:space="preserve">а) не подано ни одной заявки на участие в аукционе либо принято решение об отказе в допуске к участию в аукционе всех заявителей; </w:t>
      </w:r>
      <w:r/>
    </w:p>
    <w:p>
      <w:pPr>
        <w:ind w:firstLine="709"/>
        <w:spacing w:line="360" w:lineRule="exact"/>
      </w:pPr>
      <w:r>
        <w:rPr>
          <w:rFonts w:ascii="Times New Roman" w:hAnsi="Times New Roman"/>
          <w:sz w:val="28"/>
          <w:szCs w:val="28"/>
        </w:rPr>
        <w:t xml:space="preserve">б) на дату окончания срока подачи заявок на уча</w:t>
      </w:r>
      <w:r>
        <w:rPr>
          <w:rFonts w:ascii="Times New Roman" w:hAnsi="Times New Roman"/>
          <w:sz w:val="28"/>
          <w:szCs w:val="28"/>
        </w:rPr>
        <w:t xml:space="preserve">стие в аукционе подана только одна заявка на участие в аукционе;</w:t>
      </w:r>
      <w:r/>
    </w:p>
    <w:p>
      <w:pPr>
        <w:ind w:firstLine="709"/>
        <w:spacing w:line="360" w:lineRule="exact"/>
      </w:pPr>
      <w:r>
        <w:rPr>
          <w:rFonts w:ascii="Times New Roman" w:hAnsi="Times New Roman"/>
          <w:sz w:val="28"/>
          <w:szCs w:val="28"/>
        </w:rPr>
        <w:t xml:space="preserve">в) только один заявитель допущен к участию в аукционе;</w:t>
      </w:r>
      <w:r/>
    </w:p>
    <w:p>
      <w:pPr>
        <w:ind w:firstLine="709"/>
        <w:spacing w:line="360" w:lineRule="exact"/>
      </w:pPr>
      <w:r>
        <w:rPr>
          <w:rFonts w:ascii="Times New Roman" w:hAnsi="Times New Roman"/>
          <w:sz w:val="28"/>
          <w:szCs w:val="28"/>
        </w:rPr>
        <w:t xml:space="preserve">г) в аукционе участвовал один участник аукциона;</w:t>
      </w:r>
      <w:r/>
    </w:p>
    <w:p>
      <w:pPr>
        <w:ind w:firstLine="709"/>
        <w:spacing w:line="360" w:lineRule="exact"/>
      </w:pPr>
      <w:r>
        <w:rPr>
          <w:rFonts w:ascii="Times New Roman" w:hAnsi="Times New Roman"/>
          <w:sz w:val="28"/>
          <w:szCs w:val="28"/>
        </w:rPr>
        <w:t xml:space="preserve">д) в течение 10 минут после начала проведения аукциона ни один </w:t>
      </w:r>
      <w:r>
        <w:rPr>
          <w:rFonts w:ascii="Times New Roman" w:hAnsi="Times New Roman"/>
          <w:sz w:val="28"/>
          <w:szCs w:val="28"/>
        </w:rPr>
        <w:br/>
        <w:t xml:space="preserve">из его участников не по</w:t>
      </w:r>
      <w:r>
        <w:rPr>
          <w:rFonts w:ascii="Times New Roman" w:hAnsi="Times New Roman"/>
          <w:sz w:val="28"/>
          <w:szCs w:val="28"/>
        </w:rPr>
        <w:t xml:space="preserve">дал предложение о цене предмета аукциона (лота). </w:t>
      </w:r>
      <w:r/>
    </w:p>
    <w:p>
      <w:pPr>
        <w:contextualSpacing/>
        <w:ind w:firstLine="709"/>
        <w:spacing w:line="360" w:lineRule="exact"/>
        <w:tabs>
          <w:tab w:val="left" w:pos="1134" w:leader="none"/>
        </w:tabs>
      </w:pPr>
      <w:r>
        <w:rPr>
          <w:rFonts w:ascii="Times New Roman" w:hAnsi="Times New Roman" w:cs="Times New Roman"/>
          <w:sz w:val="28"/>
          <w:szCs w:val="28"/>
        </w:rPr>
        <w:t xml:space="preserve">14.13. </w:t>
      </w:r>
      <w:r>
        <w:rPr>
          <w:rFonts w:ascii="Times New Roman" w:hAnsi="Times New Roman"/>
          <w:sz w:val="28"/>
          <w:szCs w:val="28"/>
        </w:rPr>
        <w:t xml:space="preserve">В случае если аукцион признан несостоявшимся по основаниям, предусмотренным подпунктами "б", "в" и "г" пункта </w:t>
      </w:r>
      <w:r>
        <w:rPr>
          <w:rFonts w:ascii="Times New Roman" w:hAnsi="Times New Roman" w:cs="Times New Roman"/>
          <w:sz w:val="28"/>
          <w:szCs w:val="28"/>
        </w:rPr>
        <w:t xml:space="preserve">14.12 Документации об аукционе</w:t>
      </w:r>
      <w:r>
        <w:rPr>
          <w:rFonts w:ascii="Times New Roman" w:hAnsi="Times New Roman"/>
          <w:sz w:val="28"/>
          <w:szCs w:val="28"/>
        </w:rPr>
        <w:t xml:space="preserve">, Договор  заключается</w:t>
      </w:r>
      <w:r>
        <w:rPr>
          <w:rFonts w:ascii="Times New Roman" w:hAnsi="Times New Roman"/>
          <w:sz w:val="28"/>
          <w:szCs w:val="28"/>
        </w:rPr>
        <w:t xml:space="preserve"> с лицом, которое подало единственную заявку на участие в аукционе, соответствующую требованиям, предусмотренным извещением о проведении аукциона, которое признано единственным участником аукциона или является единственным участником аукциона.</w:t>
      </w:r>
      <w:r/>
    </w:p>
    <w:p>
      <w:pPr>
        <w:contextualSpacing/>
        <w:ind w:firstLine="709"/>
        <w:spacing w:line="360" w:lineRule="exact"/>
      </w:pPr>
      <w:r>
        <w:rPr>
          <w:rFonts w:ascii="Times New Roman" w:hAnsi="Times New Roman"/>
          <w:bCs/>
          <w:sz w:val="28"/>
          <w:szCs w:val="28"/>
        </w:rPr>
        <w:t xml:space="preserve">Если участни</w:t>
      </w:r>
      <w:r>
        <w:rPr>
          <w:rFonts w:ascii="Times New Roman" w:hAnsi="Times New Roman"/>
          <w:bCs/>
          <w:sz w:val="28"/>
          <w:szCs w:val="28"/>
        </w:rPr>
        <w:t xml:space="preserve">к аукциона, который подал единственную заявку </w:t>
      </w:r>
      <w:r>
        <w:rPr>
          <w:rFonts w:ascii="Times New Roman" w:hAnsi="Times New Roman"/>
          <w:bCs/>
          <w:sz w:val="28"/>
          <w:szCs w:val="28"/>
        </w:rPr>
        <w:br/>
        <w:t xml:space="preserve">на участие в аукционе, соответствующую требованиям, предусмотренным извещением о проведении аукциона, и признан единственным участником аукциона или является единственным участником аукциона, </w:t>
      </w:r>
      <w:r>
        <w:rPr>
          <w:rFonts w:ascii="Times New Roman" w:hAnsi="Times New Roman"/>
          <w:sz w:val="28"/>
          <w:szCs w:val="28"/>
        </w:rPr>
        <w:t xml:space="preserve">уклонился от закл</w:t>
      </w:r>
      <w:r>
        <w:rPr>
          <w:rFonts w:ascii="Times New Roman" w:hAnsi="Times New Roman"/>
          <w:sz w:val="28"/>
          <w:szCs w:val="28"/>
        </w:rPr>
        <w:t xml:space="preserve">ючения Договора, задаток такому лицу не возвращается и такой участник включается в реестр недобросовестных участников аукционов.</w:t>
      </w:r>
      <w:r/>
    </w:p>
    <w:p>
      <w:pPr>
        <w:pStyle w:val="965"/>
        <w:ind w:firstLine="540"/>
        <w:jc w:val="both"/>
      </w:pPr>
      <w:r>
        <w:rPr>
          <w:rFonts w:ascii="Times New Roman" w:hAnsi="Times New Roman"/>
          <w:sz w:val="28"/>
          <w:szCs w:val="28"/>
        </w:rPr>
        <w:t xml:space="preserve">В случае отказа участника аукциона от заключения Договора </w:t>
      </w:r>
      <w:r>
        <w:rPr>
          <w:rFonts w:ascii="Times New Roman" w:hAnsi="Times New Roman"/>
          <w:sz w:val="28"/>
          <w:szCs w:val="28"/>
        </w:rPr>
        <w:br/>
        <w:t xml:space="preserve">организатор аукциона реализует предмет аукциона (лот) повторно.</w:t>
      </w:r>
      <w:r/>
    </w:p>
    <w:p>
      <w:pPr>
        <w:pStyle w:val="965"/>
        <w:ind w:firstLine="540"/>
        <w:jc w:val="both"/>
      </w:pPr>
      <w:r>
        <w:rPr>
          <w:rFonts w:ascii="Times New Roman" w:hAnsi="Times New Roman" w:cs="Times New Roman"/>
          <w:sz w:val="28"/>
          <w:szCs w:val="28"/>
        </w:rPr>
        <w:t xml:space="preserve">14.1</w:t>
      </w:r>
      <w:r>
        <w:rPr>
          <w:rFonts w:ascii="Times New Roman" w:hAnsi="Times New Roman" w:cs="Times New Roman"/>
          <w:sz w:val="28"/>
          <w:szCs w:val="28"/>
        </w:rPr>
        <w:t xml:space="preserve">4. </w:t>
      </w:r>
      <w:r>
        <w:rPr>
          <w:rFonts w:ascii="Times New Roman" w:hAnsi="Times New Roman"/>
          <w:sz w:val="28"/>
          <w:szCs w:val="28"/>
        </w:rPr>
        <w:t xml:space="preserve">В случае если аукцион признан несостоявшимся в соответствии </w:t>
      </w:r>
      <w:r>
        <w:rPr>
          <w:rFonts w:ascii="Times New Roman" w:hAnsi="Times New Roman"/>
          <w:sz w:val="28"/>
          <w:szCs w:val="28"/>
        </w:rPr>
        <w:br/>
        <w:t xml:space="preserve">с </w:t>
      </w:r>
      <w:hyperlink w:history="1">
        <w:r>
          <w:rPr>
            <w:rFonts w:ascii="Times New Roman" w:hAnsi="Times New Roman"/>
            <w:sz w:val="28"/>
            <w:szCs w:val="28"/>
          </w:rPr>
          <w:t xml:space="preserve">подпунктом "а</w:t>
        </w:r>
      </w:hyperlink>
      <w:r>
        <w:rPr>
          <w:rFonts w:ascii="Times New Roman" w:hAnsi="Times New Roman"/>
          <w:sz w:val="28"/>
          <w:szCs w:val="28"/>
        </w:rPr>
        <w:t xml:space="preserve">" пункта </w:t>
      </w:r>
      <w:r>
        <w:rPr>
          <w:rFonts w:ascii="Times New Roman" w:hAnsi="Times New Roman" w:cs="Times New Roman"/>
          <w:sz w:val="28"/>
          <w:szCs w:val="28"/>
        </w:rPr>
        <w:t xml:space="preserve">14.12 документации об аукционе</w:t>
      </w:r>
      <w:r>
        <w:rPr>
          <w:rFonts w:ascii="Times New Roman" w:hAnsi="Times New Roman"/>
          <w:sz w:val="28"/>
          <w:szCs w:val="28"/>
        </w:rPr>
        <w:t xml:space="preserve">, Федеральное агентство по рыболовству вправе принять решение о проведении повторного аукциона, при этом начальная цена пред</w:t>
      </w:r>
      <w:r>
        <w:rPr>
          <w:rFonts w:ascii="Times New Roman" w:hAnsi="Times New Roman"/>
          <w:sz w:val="28"/>
          <w:szCs w:val="28"/>
        </w:rPr>
        <w:t xml:space="preserve">мета аукциона (лота) может быть снижена не более чем на 10 процентов.</w:t>
      </w:r>
      <w:r/>
    </w:p>
    <w:p>
      <w:pPr>
        <w:pStyle w:val="965"/>
        <w:ind w:firstLine="540"/>
        <w:jc w:val="both"/>
      </w:pPr>
      <w:r>
        <w:rPr>
          <w:rFonts w:ascii="Times New Roman" w:hAnsi="Times New Roman"/>
          <w:sz w:val="28"/>
          <w:szCs w:val="28"/>
        </w:rPr>
      </w:r>
      <w:r/>
    </w:p>
    <w:p>
      <w:pPr>
        <w:pStyle w:val="965"/>
        <w:ind w:firstLine="540"/>
        <w:jc w:val="both"/>
        <w:sectPr>
          <w:headerReference w:type="default" r:id="rId9"/>
          <w:headerReference w:type="first" r:id="rId10"/>
          <w:footnotePr/>
          <w:endnotePr/>
          <w:type w:val="nextPage"/>
          <w:pgSz w:w="11906" w:h="16838" w:orient="portrait"/>
          <w:pgMar w:top="851" w:right="851" w:bottom="680" w:left="1418" w:header="709" w:footer="709" w:gutter="0"/>
          <w:cols w:num="1" w:sep="0" w:space="708" w:equalWidth="1"/>
          <w:docGrid w:linePitch="360"/>
          <w:titlePg/>
        </w:sectPr>
      </w:pPr>
      <w:r>
        <w:rPr>
          <w:rFonts w:ascii="Times New Roman" w:hAnsi="Times New Roman"/>
          <w:sz w:val="28"/>
          <w:szCs w:val="28"/>
        </w:rPr>
      </w:r>
      <w:r/>
    </w:p>
    <w:p>
      <w:pPr>
        <w:jc w:val="right"/>
        <w:pageBreakBefore/>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Приложение № 1 </w:t>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к документации об аукционе</w:t>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b/>
          <w:color w:val="000000"/>
          <w:sz w:val="28"/>
          <w:szCs w:val="28"/>
        </w:rPr>
        <w:t xml:space="preserve">Примерная форма заявки</w:t>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b/>
          <w:color w:val="000000"/>
          <w:sz w:val="28"/>
          <w:szCs w:val="28"/>
        </w:rPr>
        <w:t xml:space="preserve">на участие в аукционе</w:t>
      </w:r>
      <w:r>
        <w:rPr>
          <w:rFonts w:ascii="Times New Roman" w:hAnsi="Times New Roman" w:cs="Times New Roman"/>
          <w:sz w:val="28"/>
          <w:szCs w:val="28"/>
        </w:rPr>
        <w:t xml:space="preserve"> </w:t>
      </w:r>
      <w:r>
        <w:rPr>
          <w:rFonts w:ascii="Times New Roman" w:hAnsi="Times New Roman" w:cs="Times New Roman"/>
          <w:b/>
          <w:sz w:val="28"/>
          <w:szCs w:val="28"/>
        </w:rPr>
        <w:t xml:space="preserve">в электронной форме</w:t>
      </w:r>
      <w:r>
        <w:rPr>
          <w:rFonts w:ascii="Times New Roman" w:hAnsi="Times New Roman" w:cs="Times New Roman"/>
          <w:b/>
          <w:color w:val="000000"/>
          <w:sz w:val="28"/>
          <w:szCs w:val="28"/>
        </w:rPr>
        <w:t xml:space="preserve"> по продаже права на заключение договора </w:t>
      </w:r>
      <w:r>
        <w:rPr>
          <w:rFonts w:ascii="Times New Roman" w:hAnsi="Times New Roman" w:cs="Times New Roman"/>
          <w:b/>
          <w:color w:val="000000"/>
          <w:sz w:val="28"/>
          <w:szCs w:val="28"/>
        </w:rPr>
        <w:t xml:space="preserve">о закреплении доли квоты добычи (вылова) водных биологических ресурсов во внутренних морских водах Российской Федерации, в территориальном море Российской Федерации, на континентальном шельфе Российской Федерации, в исключительной экономической зоне Россий</w:t>
      </w:r>
      <w:r>
        <w:rPr>
          <w:rFonts w:ascii="Times New Roman" w:hAnsi="Times New Roman" w:cs="Times New Roman"/>
          <w:b/>
          <w:color w:val="000000"/>
          <w:sz w:val="28"/>
          <w:szCs w:val="28"/>
        </w:rPr>
        <w:t xml:space="preserve">ской Федерации, Каспийском море для осуществления промышленного рыболовства и (или) прибрежного рыболовства водных биологических ресурсов в Дальневосточном рыбохозяйственном бассейне </w:t>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cs="Times New Roman"/>
          <w:b/>
          <w:bCs/>
          <w:sz w:val="28"/>
          <w:szCs w:val="28"/>
          <w:highlight w:val="none"/>
        </w:rPr>
      </w:r>
      <w:r/>
    </w:p>
    <w:tbl>
      <w:tblPr>
        <w:tblStyle w:val="991"/>
        <w:tblW w:w="0" w:type="auto"/>
        <w:tblLayout w:type="fixed"/>
        <w:tblLook w:val="04A0" w:firstRow="1" w:lastRow="0" w:firstColumn="1" w:lastColumn="0" w:noHBand="0" w:noVBand="1"/>
      </w:tblPr>
      <w:tblGrid>
        <w:gridCol w:w="457"/>
        <w:gridCol w:w="910"/>
        <w:gridCol w:w="910"/>
        <w:gridCol w:w="910"/>
        <w:gridCol w:w="910"/>
        <w:gridCol w:w="1470"/>
        <w:gridCol w:w="908"/>
        <w:gridCol w:w="908"/>
        <w:gridCol w:w="908"/>
        <w:gridCol w:w="1213"/>
      </w:tblGrid>
      <w:tr>
        <w:trPr>
          <w:trHeight w:val="1275"/>
        </w:trPr>
        <w:tc>
          <w:tcPr>
            <w:gridSpan w:val="10"/>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9503" w:type="dxa"/>
            <w:vAlign w:val="bottom"/>
            <w:textDirection w:val="lrTb"/>
            <w:noWrap w:val="false"/>
          </w:tcPr>
          <w:p>
            <w:pPr>
              <w:jc w:val="center"/>
            </w:pPr>
            <w:r>
              <w:rPr>
                <w:rFonts w:ascii="Times New Roman" w:hAnsi="Times New Roman" w:eastAsia="Times New Roman" w:cs="Times New Roman"/>
                <w:color w:val="000000"/>
                <w:sz w:val="24"/>
              </w:rPr>
              <w:t xml:space="preserve">Заявка</w:t>
            </w:r>
            <w:r>
              <w:rPr>
                <w:rFonts w:ascii="Times New Roman" w:hAnsi="Times New Roman" w:eastAsia="Times New Roman" w:cs="Times New Roman"/>
                <w:color w:val="000000"/>
                <w:sz w:val="24"/>
              </w:rPr>
              <w:br/>
              <w:t xml:space="preserve">на участие в аукционе в электронной форме в электронной форме по</w:t>
            </w:r>
            <w:r>
              <w:rPr>
                <w:rFonts w:ascii="Times New Roman" w:hAnsi="Times New Roman" w:eastAsia="Times New Roman" w:cs="Times New Roman"/>
                <w:color w:val="000000"/>
                <w:sz w:val="24"/>
              </w:rPr>
              <w:t xml:space="preserve"> продаже права на заключение договора о закреплении доли квоты добычи (вылова) водных биологических ресурсов  по лоту № _________</w:t>
            </w:r>
            <w:r>
              <w:rPr>
                <w:rFonts w:ascii="Times New Roman" w:hAnsi="Times New Roman" w:eastAsia="Times New Roman" w:cs="Times New Roman"/>
                <w:i/>
                <w:color w:val="000000"/>
                <w:sz w:val="24"/>
              </w:rPr>
              <w:t xml:space="preserve"> (указывается номер лота с ЭТП, заполняется автоматически)</w:t>
            </w:r>
            <w:r/>
          </w:p>
        </w:tc>
      </w:tr>
      <w:tr>
        <w:trPr>
          <w:trHeight w:val="345"/>
        </w:trPr>
        <w:tc>
          <w:tcPr>
            <w:tcBorders>
              <w:top w:val="single" w:color="000000" w:sz="4" w:space="0"/>
              <w:left w:val="single" w:color="000000" w:sz="6" w:space="0"/>
              <w:bottom w:val="single" w:color="000000" w:sz="6" w:space="0"/>
              <w:right w:val="single" w:color="000000" w:sz="6"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1.</w:t>
            </w:r>
            <w:r/>
          </w:p>
        </w:tc>
        <w:tc>
          <w:tcPr>
            <w:gridSpan w:val="5"/>
            <w:tcBorders>
              <w:top w:val="single" w:color="000000" w:sz="4" w:space="0"/>
              <w:left w:val="single" w:color="000000" w:sz="6" w:space="0"/>
              <w:bottom w:val="single" w:color="000000" w:sz="6" w:space="0"/>
              <w:right w:val="single" w:color="000000" w:sz="6" w:space="0"/>
            </w:tcBorders>
            <w:tcMar>
              <w:left w:w="0" w:type="dxa"/>
              <w:top w:w="0" w:type="dxa"/>
              <w:right w:w="0" w:type="dxa"/>
              <w:bottom w:w="0" w:type="dxa"/>
            </w:tcMar>
            <w:tcW w:w="5110" w:type="dxa"/>
            <w:vAlign w:val="center"/>
            <w:textDirection w:val="lrTb"/>
            <w:noWrap w:val="false"/>
          </w:tcPr>
          <w:p>
            <w:pPr>
              <w:jc w:val="center"/>
            </w:pPr>
            <w:r>
              <w:rPr>
                <w:rFonts w:ascii="Times New Roman" w:hAnsi="Times New Roman" w:eastAsia="Times New Roman" w:cs="Times New Roman"/>
                <w:color w:val="000000"/>
              </w:rPr>
              <w:t xml:space="preserve">Сведения о заявителе:</w:t>
            </w:r>
            <w:r/>
          </w:p>
        </w:tc>
        <w:tc>
          <w:tcPr>
            <w:gridSpan w:val="4"/>
            <w:tcBorders>
              <w:top w:val="single" w:color="000000" w:sz="4" w:space="0"/>
              <w:left w:val="single" w:color="000000" w:sz="6" w:space="0"/>
              <w:bottom w:val="single" w:color="000000" w:sz="4" w:space="0"/>
              <w:right w:val="single" w:color="000000" w:sz="6" w:space="0"/>
            </w:tcBorders>
            <w:tcMar>
              <w:left w:w="0" w:type="dxa"/>
              <w:top w:w="0" w:type="dxa"/>
              <w:right w:w="0" w:type="dxa"/>
              <w:bottom w:w="0" w:type="dxa"/>
            </w:tcMar>
            <w:tcW w:w="3936" w:type="dxa"/>
            <w:vAlign w:val="bottom"/>
            <w:textDirection w:val="lrTb"/>
            <w:noWrap w:val="false"/>
          </w:tcPr>
          <w:p>
            <w:pPr>
              <w:jc w:val="center"/>
            </w:pPr>
            <w:r/>
            <w:r/>
          </w:p>
        </w:tc>
      </w:tr>
      <w:tr>
        <w:trPr>
          <w:trHeight w:val="1215"/>
        </w:trPr>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1.1.</w:t>
            </w:r>
            <w:r/>
          </w:p>
        </w:tc>
        <w:tc>
          <w:tcPr>
            <w:gridSpan w:val="5"/>
            <w:tcBorders>
              <w:top w:val="single" w:color="000000" w:sz="6" w:space="0"/>
              <w:left w:val="single" w:color="000000" w:sz="6" w:space="0"/>
              <w:bottom w:val="single" w:color="000000" w:sz="6"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Для юридических лиц:</w:t>
            </w:r>
            <w:r>
              <w:rPr>
                <w:rFonts w:ascii="Times New Roman" w:hAnsi="Times New Roman" w:eastAsia="Times New Roman" w:cs="Times New Roman"/>
                <w:color w:val="000000"/>
              </w:rPr>
              <w:br/>
            </w:r>
            <w:r>
              <w:rPr>
                <w:rFonts w:ascii="Times New Roman" w:hAnsi="Times New Roman" w:eastAsia="Times New Roman" w:cs="Times New Roman"/>
                <w:color w:val="000000"/>
              </w:rPr>
              <w:t xml:space="preserve">- полное и сокращенное наименование, ОГРН, место нахождения, телефон, адрес электронной почты, идентификационный номер налогоплательщика:</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1005"/>
        </w:trPr>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1.2.</w:t>
            </w:r>
            <w:r/>
          </w:p>
        </w:tc>
        <w:tc>
          <w:tcPr>
            <w:gridSpan w:val="5"/>
            <w:tcBorders>
              <w:top w:val="single" w:color="000000" w:sz="6" w:space="0"/>
              <w:left w:val="single" w:color="000000" w:sz="6" w:space="0"/>
              <w:bottom w:val="single" w:color="000000" w:sz="4" w:space="0"/>
              <w:right w:val="non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сведения о нахождении или ненахождении заявителя под контролем иностранного инвестора или группы лиц, в которую</w:t>
            </w:r>
            <w:r>
              <w:rPr>
                <w:rFonts w:ascii="Times New Roman" w:hAnsi="Times New Roman" w:eastAsia="Times New Roman" w:cs="Times New Roman"/>
                <w:color w:val="000000"/>
              </w:rPr>
              <w:t xml:space="preserve"> входит иностранный инвестор: </w:t>
            </w:r>
            <w:r/>
          </w:p>
        </w:tc>
        <w:tc>
          <w:tcPr>
            <w:gridSpan w:val="4"/>
            <w:tcBorders>
              <w:top w:val="single" w:color="000000" w:sz="4" w:space="0"/>
              <w:left w:val="single" w:color="000000" w:sz="6" w:space="0"/>
              <w:bottom w:val="single" w:color="000000" w:sz="4" w:space="0"/>
              <w:right w:val="single" w:color="000000" w:sz="6" w:space="0"/>
            </w:tcBorders>
            <w:tcMar>
              <w:left w:w="0" w:type="dxa"/>
              <w:top w:w="0" w:type="dxa"/>
              <w:right w:w="0" w:type="dxa"/>
              <w:bottom w:w="0" w:type="dxa"/>
            </w:tcMar>
            <w:tcW w:w="3936" w:type="dxa"/>
            <w:vAlign w:val="bottom"/>
            <w:textDirection w:val="lrTb"/>
            <w:noWrap w:val="false"/>
          </w:tcPr>
          <w:p>
            <w:r/>
            <w:r/>
          </w:p>
        </w:tc>
      </w:tr>
      <w:tr>
        <w:trPr>
          <w:trHeight w:val="3270"/>
        </w:trPr>
        <w:tc>
          <w:tcPr>
            <w:tcBorders>
              <w:top w:val="single" w:color="000000" w:sz="6" w:space="0"/>
              <w:left w:val="single" w:color="000000" w:sz="6" w:space="0"/>
              <w:bottom w:val="single" w:color="000000" w:sz="6" w:space="0"/>
              <w:right w:val="single" w:color="000000" w:sz="4"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1.3.</w:t>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сведения о решении Федеральной антимонопольной службы, оформленном на основании решения Правительственной комиссии по контролю за осуществлением иностранных инвестиций в Российской Федерации, если контроль иностранного инвестора в отношении такого юридичес</w:t>
            </w:r>
            <w:r>
              <w:rPr>
                <w:rFonts w:ascii="Times New Roman" w:hAnsi="Times New Roman" w:eastAsia="Times New Roman" w:cs="Times New Roman"/>
                <w:color w:val="000000"/>
              </w:rPr>
              <w:t xml:space="preserve">кого лица установлен в порядке, предусмотренном Федеральным законом </w:t>
            </w:r>
            <w:r>
              <w:rPr>
                <w:rFonts w:ascii="Times New Roman" w:hAnsi="Times New Roman" w:cs="Times New Roman"/>
                <w:sz w:val="22"/>
                <w:szCs w:val="22"/>
              </w:rPr>
              <w:t xml:space="preserve">от 29 апреля 2008 г. № 57-ФЗ</w:t>
            </w:r>
            <w:r>
              <w:rPr>
                <w:rFonts w:ascii="Times New Roman" w:hAnsi="Times New Roman" w:eastAsia="Times New Roman" w:cs="Times New Roman"/>
                <w:color w:val="000000"/>
              </w:rPr>
              <w:t xml:space="preserve"> «О порядке осуществления иностранных инвестиций в хозяйственные общества, имеющие стратегическое значение для обеспечения обороны страны и безопасности государства»:</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2490"/>
        </w:trPr>
        <w:tc>
          <w:tcPr>
            <w:tcBorders>
              <w:top w:val="single" w:color="000000" w:sz="6" w:space="0"/>
              <w:left w:val="single" w:color="000000" w:sz="6" w:space="0"/>
              <w:bottom w:val="single" w:color="000000" w:sz="6" w:space="0"/>
              <w:right w:val="single" w:color="000000" w:sz="4"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1.1.</w:t>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Для индивидуальных предпринимателей:</w:t>
            </w:r>
            <w:r>
              <w:rPr>
                <w:rFonts w:ascii="Times New Roman" w:hAnsi="Times New Roman" w:eastAsia="Times New Roman" w:cs="Times New Roman"/>
                <w:color w:val="000000"/>
              </w:rPr>
              <w:br/>
              <w:t xml:space="preserve"> - фамилия, имя, отчество, данные документа, удостоверяющего личность, сведения о месте жительства, телефон, адрес электронной почты, идентификационный номер налогоплательщика, страховой номер индивидуального лицевого с</w:t>
            </w:r>
            <w:r>
              <w:rPr>
                <w:rFonts w:ascii="Times New Roman" w:hAnsi="Times New Roman" w:eastAsia="Times New Roman" w:cs="Times New Roman"/>
                <w:color w:val="000000"/>
              </w:rPr>
              <w:t xml:space="preserve">чета в системе обязательного пенсионного страхования Российской Федерации:</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600"/>
        </w:trPr>
        <w:tc>
          <w:tcPr>
            <w:tcBorders>
              <w:top w:val="single" w:color="000000" w:sz="6" w:space="0"/>
              <w:left w:val="single" w:color="000000" w:sz="6" w:space="0"/>
              <w:bottom w:val="none" w:color="000000" w:sz="4" w:space="0"/>
              <w:right w:val="single" w:color="000000" w:sz="4" w:space="0"/>
            </w:tcBorders>
            <w:tcMar>
              <w:left w:w="0" w:type="dxa"/>
              <w:top w:w="0" w:type="dxa"/>
              <w:right w:w="0" w:type="dxa"/>
              <w:bottom w:w="0" w:type="dxa"/>
            </w:tcMar>
            <w:tcW w:w="457" w:type="dxa"/>
            <w:vMerge w:val="restart"/>
            <w:textDirection w:val="lrTb"/>
            <w:noWrap w:val="false"/>
          </w:tcPr>
          <w:p>
            <w:pPr>
              <w:jc w:val="center"/>
            </w:pPr>
            <w:r>
              <w:rPr>
                <w:rFonts w:ascii="Times New Roman" w:hAnsi="Times New Roman" w:eastAsia="Times New Roman" w:cs="Times New Roman"/>
                <w:color w:val="000000"/>
              </w:rPr>
              <w:t xml:space="preserve">2.</w:t>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Сведения о соответствии заявителя установленным требованиям:</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vMerge w:val="restart"/>
            <w:textDirection w:val="lrTb"/>
            <w:noWrap w:val="false"/>
          </w:tcPr>
          <w:p>
            <w:r/>
            <w:r/>
          </w:p>
        </w:tc>
      </w:tr>
      <w:tr>
        <w:trPr>
          <w:trHeight w:val="615"/>
        </w:trPr>
        <w:tc>
          <w:tcPr>
            <w:tcBorders>
              <w:top w:val="none" w:color="000000" w:sz="4" w:space="0"/>
              <w:left w:val="single" w:color="000000" w:sz="6" w:space="0"/>
              <w:bottom w:val="none" w:color="000000" w:sz="4" w:space="0"/>
              <w:right w:val="single" w:color="000000" w:sz="6" w:space="0"/>
            </w:tcBorders>
            <w:tcMar>
              <w:left w:w="0" w:type="dxa"/>
              <w:top w:w="0" w:type="dxa"/>
              <w:right w:w="0" w:type="dxa"/>
              <w:bottom w:w="0" w:type="dxa"/>
            </w:tcMar>
            <w:tcW w:w="457" w:type="dxa"/>
            <w:vMerge w:val="continue"/>
            <w:textDirection w:val="lrTb"/>
            <w:noWrap w:val="false"/>
          </w:tcPr>
          <w:p>
            <w:pPr>
              <w:jc w:val="center"/>
            </w:pPr>
            <w:r/>
            <w:r/>
          </w:p>
        </w:tc>
        <w:tc>
          <w:tcPr>
            <w:gridSpan w:val="5"/>
            <w:tcBorders>
              <w:top w:val="single" w:color="000000" w:sz="6" w:space="0"/>
              <w:left w:val="single" w:color="000000" w:sz="6" w:space="0"/>
              <w:bottom w:val="single" w:color="000000" w:sz="6"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в отношении не проводятся процедуры банкротства и ликвидации:</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vMerge w:val="continue"/>
            <w:textDirection w:val="lrTb"/>
            <w:noWrap w:val="false"/>
          </w:tcPr>
          <w:p>
            <w:pPr>
              <w:jc w:val="center"/>
            </w:pPr>
            <w:r/>
            <w:r/>
          </w:p>
        </w:tc>
      </w:tr>
      <w:tr>
        <w:trPr>
          <w:trHeight w:val="1185"/>
        </w:trPr>
        <w:tc>
          <w:tcPr>
            <w:tcBorders>
              <w:top w:val="none" w:color="000000" w:sz="4" w:space="0"/>
              <w:left w:val="single" w:color="000000" w:sz="6" w:space="0"/>
              <w:bottom w:val="none" w:color="000000" w:sz="4" w:space="0"/>
              <w:right w:val="single" w:color="000000" w:sz="4" w:space="0"/>
            </w:tcBorders>
            <w:tcMar>
              <w:left w:w="0" w:type="dxa"/>
              <w:top w:w="0" w:type="dxa"/>
              <w:right w:w="0" w:type="dxa"/>
              <w:bottom w:w="0" w:type="dxa"/>
            </w:tcMar>
            <w:tcW w:w="457" w:type="dxa"/>
            <w:vMerge w:val="continue"/>
            <w:textDirection w:val="lrTb"/>
            <w:noWrap w:val="false"/>
          </w:tcPr>
          <w:p>
            <w:pPr>
              <w:jc w:val="center"/>
            </w:pPr>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деятельность заявителя не приостановлена в порядке, предусмотренном Кодексом Российской Федерации об административных правонарушениях, на день подачи заявки на участие в аукционе:</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4530"/>
        </w:trPr>
        <w:tc>
          <w:tcPr>
            <w:tcBorders>
              <w:top w:val="none" w:color="000000" w:sz="4" w:space="0"/>
              <w:left w:val="single" w:color="000000" w:sz="6" w:space="0"/>
              <w:bottom w:val="single" w:color="000000" w:sz="6" w:space="0"/>
              <w:right w:val="single" w:color="000000" w:sz="4" w:space="0"/>
            </w:tcBorders>
            <w:tcMar>
              <w:left w:w="0" w:type="dxa"/>
              <w:top w:w="0" w:type="dxa"/>
              <w:right w:w="0" w:type="dxa"/>
              <w:bottom w:w="0" w:type="dxa"/>
            </w:tcMar>
            <w:tcW w:w="457" w:type="dxa"/>
            <w:vMerge w:val="continue"/>
            <w:textDirection w:val="lrTb"/>
            <w:noWrap w:val="false"/>
          </w:tcPr>
          <w:p>
            <w:pPr>
              <w:jc w:val="center"/>
            </w:pPr>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у заявителя отсутствует задолженность по начисленным налогам, сборам и иным обязательным платежам в соответствующие бюджеты или государственные внебюджетные фонды за последний отчетный период, размер которой превышает 25 процентов балансовой стоимости акти</w:t>
            </w:r>
            <w:r>
              <w:rPr>
                <w:rFonts w:ascii="Times New Roman" w:hAnsi="Times New Roman" w:eastAsia="Times New Roman" w:cs="Times New Roman"/>
                <w:color w:val="000000"/>
              </w:rPr>
              <w:t xml:space="preserve">вов заявителя (по данным бухгалтерской отчетности за последний отчетный период). В случае наличия задолженности в размере, превышающем 25 процентов указанной стоимости, заявитель считается соответствующим установленному требованию, если он обжаловал наличи</w:t>
            </w:r>
            <w:r>
              <w:rPr>
                <w:rFonts w:ascii="Times New Roman" w:hAnsi="Times New Roman" w:eastAsia="Times New Roman" w:cs="Times New Roman"/>
                <w:color w:val="000000"/>
              </w:rPr>
              <w:t xml:space="preserve">е указанной задолженности в соответствии с законодательством Российской Федерации и решение по такой жалобе на день подачи заявки на участие в аукционе не принято:</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3360"/>
        </w:trPr>
        <w:tc>
          <w:tcPr>
            <w:tcBorders>
              <w:top w:val="single" w:color="000000" w:sz="6" w:space="0"/>
              <w:left w:val="single" w:color="000000" w:sz="6" w:space="0"/>
              <w:bottom w:val="single" w:color="000000" w:sz="6" w:space="0"/>
              <w:right w:val="single" w:color="000000" w:sz="4"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3.</w:t>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Сведения </w:t>
            </w:r>
            <w:r>
              <w:rPr>
                <w:rFonts w:ascii="Times New Roman" w:hAnsi="Times New Roman" w:eastAsia="Times New Roman" w:cs="Times New Roman"/>
                <w:color w:val="000000"/>
              </w:rPr>
              <w:t xml:space="preserve">о нахождении (ненахождении) заявителя в Реестре недобросовестных участников аукционов по продаже права на заключение договоров о закреплении доли квоты добычи (вылова) водных биологических ресурсов, договоров о закреплении и предоставлении доли квоты добыч</w:t>
            </w:r>
            <w:r>
              <w:rPr>
                <w:rFonts w:ascii="Times New Roman" w:hAnsi="Times New Roman" w:eastAsia="Times New Roman" w:cs="Times New Roman"/>
                <w:color w:val="000000"/>
              </w:rPr>
              <w:t xml:space="preserve">и (вылова) крабов, предоставленной в инвестиционных целях в области рыболовства, для осуществления промышленного рыболовства и (или) прибрежного рыболовства, договоров пользования водными биологическими ресурсами, договоров пользования рыболовным участком:</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615"/>
        </w:trPr>
        <w:tc>
          <w:tcPr>
            <w:tcBorders>
              <w:top w:val="single" w:color="000000" w:sz="6" w:space="0"/>
              <w:left w:val="single" w:color="000000" w:sz="6" w:space="0"/>
              <w:bottom w:val="single" w:color="000000" w:sz="6" w:space="0"/>
              <w:right w:val="single" w:color="000000" w:sz="4"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4.</w:t>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Дополнительная информация:</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885"/>
        </w:trPr>
        <w:tc>
          <w:tcPr>
            <w:gridSpan w:val="6"/>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567" w:type="dxa"/>
            <w:vAlign w:val="center"/>
            <w:textDirection w:val="lrTb"/>
            <w:noWrap w:val="false"/>
          </w:tcPr>
          <w:p>
            <w:pPr>
              <w:jc w:val="center"/>
            </w:pPr>
            <w:r>
              <w:rPr>
                <w:rFonts w:ascii="Times New Roman" w:hAnsi="Times New Roman" w:eastAsia="Times New Roman" w:cs="Times New Roman"/>
                <w:color w:val="000000"/>
              </w:rPr>
              <w:t xml:space="preserve">К заявке прилагаются следующие документы:</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330"/>
        </w:trPr>
        <w:tc>
          <w:tcPr>
            <w:tcBorders>
              <w:top w:val="single" w:color="000000" w:sz="4" w:space="0"/>
              <w:left w:val="none" w:color="000000" w:sz="4" w:space="0"/>
              <w:bottom w:val="none" w:color="000000" w:sz="4" w:space="0"/>
              <w:right w:val="none" w:color="000000" w:sz="4" w:space="0"/>
            </w:tcBorders>
            <w:tcMar>
              <w:left w:w="0" w:type="dxa"/>
              <w:top w:w="0" w:type="dxa"/>
              <w:right w:w="0" w:type="dxa"/>
              <w:bottom w:w="0" w:type="dxa"/>
            </w:tcMar>
            <w:tcW w:w="457" w:type="dxa"/>
            <w:vAlign w:val="center"/>
            <w:textDirection w:val="lrTb"/>
            <w:noWrap w:val="false"/>
          </w:tcPr>
          <w:p>
            <w:r/>
            <w:r/>
          </w:p>
        </w:tc>
        <w:tc>
          <w:tcPr>
            <w:tcBorders>
              <w:top w:val="singl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singl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singl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singl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single" w:color="000000" w:sz="4" w:space="0"/>
              <w:left w:val="none" w:color="000000" w:sz="4" w:space="0"/>
              <w:bottom w:val="single" w:color="000000" w:sz="6" w:space="0"/>
              <w:right w:val="none" w:color="000000" w:sz="4" w:space="0"/>
            </w:tcBorders>
            <w:tcMar>
              <w:left w:w="0" w:type="dxa"/>
              <w:top w:w="0" w:type="dxa"/>
              <w:right w:w="0" w:type="dxa"/>
              <w:bottom w:w="0" w:type="dxa"/>
            </w:tcMar>
            <w:tcW w:w="1470" w:type="dxa"/>
            <w:vAlign w:val="center"/>
            <w:textDirection w:val="lrTb"/>
            <w:noWrap w:val="false"/>
          </w:tcPr>
          <w:p>
            <w:r/>
            <w:r/>
          </w:p>
        </w:tc>
        <w:tc>
          <w:tcPr>
            <w:tcBorders>
              <w:top w:val="single" w:color="000000" w:sz="4" w:space="0"/>
              <w:left w:val="none" w:color="000000" w:sz="4" w:space="0"/>
              <w:bottom w:val="single" w:color="000000" w:sz="6" w:space="0"/>
              <w:right w:val="none" w:color="000000" w:sz="4" w:space="0"/>
            </w:tcBorders>
            <w:tcMar>
              <w:left w:w="0" w:type="dxa"/>
              <w:top w:w="0" w:type="dxa"/>
              <w:right w:w="0" w:type="dxa"/>
              <w:bottom w:w="0" w:type="dxa"/>
            </w:tcMar>
            <w:tcW w:w="908" w:type="dxa"/>
            <w:vAlign w:val="bottom"/>
            <w:textDirection w:val="lrTb"/>
            <w:noWrap w:val="false"/>
          </w:tcPr>
          <w:p>
            <w:r/>
            <w:r/>
          </w:p>
        </w:tc>
        <w:tc>
          <w:tcPr>
            <w:tcBorders>
              <w:top w:val="single" w:color="000000" w:sz="4" w:space="0"/>
              <w:left w:val="none" w:color="000000" w:sz="4" w:space="0"/>
              <w:bottom w:val="single" w:color="000000" w:sz="6" w:space="0"/>
              <w:right w:val="none" w:color="000000" w:sz="4" w:space="0"/>
            </w:tcBorders>
            <w:tcMar>
              <w:left w:w="0" w:type="dxa"/>
              <w:top w:w="0" w:type="dxa"/>
              <w:right w:w="0" w:type="dxa"/>
              <w:bottom w:w="0" w:type="dxa"/>
            </w:tcMar>
            <w:tcW w:w="908" w:type="dxa"/>
            <w:vAlign w:val="bottom"/>
            <w:textDirection w:val="lrTb"/>
            <w:noWrap w:val="false"/>
          </w:tcPr>
          <w:p>
            <w:r/>
            <w:r/>
          </w:p>
        </w:tc>
        <w:tc>
          <w:tcPr>
            <w:tcBorders>
              <w:top w:val="single" w:color="000000" w:sz="4" w:space="0"/>
              <w:left w:val="none" w:color="000000" w:sz="4" w:space="0"/>
              <w:bottom w:val="single" w:color="000000" w:sz="6" w:space="0"/>
              <w:right w:val="none" w:color="000000" w:sz="4" w:space="0"/>
            </w:tcBorders>
            <w:tcMar>
              <w:left w:w="0" w:type="dxa"/>
              <w:top w:w="0" w:type="dxa"/>
              <w:right w:w="0" w:type="dxa"/>
              <w:bottom w:w="0" w:type="dxa"/>
            </w:tcMar>
            <w:tcW w:w="908" w:type="dxa"/>
            <w:vAlign w:val="bottom"/>
            <w:textDirection w:val="lrTb"/>
            <w:noWrap w:val="false"/>
          </w:tcPr>
          <w:p>
            <w:r/>
            <w:r/>
          </w:p>
        </w:tc>
        <w:tc>
          <w:tcPr>
            <w:tcBorders>
              <w:top w:val="single" w:color="000000" w:sz="4" w:space="0"/>
              <w:left w:val="none" w:color="000000" w:sz="4" w:space="0"/>
              <w:bottom w:val="single" w:color="000000" w:sz="6" w:space="0"/>
              <w:right w:val="none" w:color="000000" w:sz="4" w:space="0"/>
            </w:tcBorders>
            <w:tcMar>
              <w:left w:w="0" w:type="dxa"/>
              <w:top w:w="0" w:type="dxa"/>
              <w:right w:w="0" w:type="dxa"/>
              <w:bottom w:w="0" w:type="dxa"/>
            </w:tcMar>
            <w:tcW w:w="1213" w:type="dxa"/>
            <w:vAlign w:val="bottom"/>
            <w:textDirection w:val="lrTb"/>
            <w:noWrap w:val="false"/>
          </w:tcPr>
          <w:p>
            <w:r/>
            <w:r/>
          </w:p>
        </w:tc>
      </w:tr>
      <w:tr>
        <w:trPr>
          <w:trHeight w:val="300"/>
        </w:trPr>
        <w:tc>
          <w:tcPr>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457" w:type="dxa"/>
            <w:vAlign w:val="center"/>
            <w:textDirection w:val="lrTb"/>
            <w:noWrap w:val="false"/>
          </w:tcPr>
          <w:p>
            <w:r/>
            <w:r/>
          </w:p>
        </w:tc>
        <w:tc>
          <w:tcPr>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none" w:color="000000" w:sz="4" w:space="0"/>
              <w:left w:val="none" w:color="000000" w:sz="4" w:space="0"/>
              <w:bottom w:val="none" w:color="000000" w:sz="4" w:space="0"/>
              <w:right w:val="single" w:color="000000" w:sz="6" w:space="0"/>
            </w:tcBorders>
            <w:tcMar>
              <w:left w:w="0" w:type="dxa"/>
              <w:top w:w="0" w:type="dxa"/>
              <w:right w:w="0" w:type="dxa"/>
              <w:bottom w:w="0" w:type="dxa"/>
            </w:tcMar>
            <w:tcW w:w="910" w:type="dxa"/>
            <w:vAlign w:val="center"/>
            <w:textDirection w:val="lrTb"/>
            <w:noWrap w:val="false"/>
          </w:tcPr>
          <w:p>
            <w:r/>
            <w:r/>
          </w:p>
        </w:tc>
        <w:tc>
          <w:tcPr>
            <w:gridSpan w:val="5"/>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5406" w:type="dxa"/>
            <w:vAlign w:val="bottom"/>
            <w:vMerge w:val="restart"/>
            <w:textDirection w:val="lrTb"/>
            <w:noWrap w:val="false"/>
          </w:tcPr>
          <w:p>
            <w:pPr>
              <w:jc w:val="center"/>
            </w:pPr>
            <w:r>
              <w:rPr>
                <w:rFonts w:ascii="Times New Roman" w:hAnsi="Times New Roman" w:eastAsia="Times New Roman" w:cs="Times New Roman"/>
                <w:color w:val="000000"/>
              </w:rPr>
              <w:t xml:space="preserve">(усиленная квалифицированная электронная подпись заявителя)</w:t>
            </w:r>
            <w:r/>
          </w:p>
        </w:tc>
      </w:tr>
    </w:tbl>
    <w:p>
      <w:pPr>
        <w:pStyle w:val="965"/>
        <w:ind w:firstLine="540"/>
        <w:jc w:val="both"/>
      </w:pPr>
      <w:r/>
      <w:r/>
    </w:p>
    <w:p>
      <w:pPr>
        <w:pStyle w:val="965"/>
        <w:ind w:firstLine="540"/>
        <w:jc w:val="both"/>
        <w:rPr>
          <w:rFonts w:ascii="Times New Roman" w:hAnsi="Times New Roman" w:cs="Times New Roman"/>
          <w:sz w:val="28"/>
          <w:szCs w:val="28"/>
        </w:rPr>
      </w:pPr>
      <w:r>
        <w:rPr>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sectPr>
          <w:headerReference w:type="default" r:id="rId11"/>
          <w:footnotePr/>
          <w:endnotePr/>
          <w:type w:val="nextPage"/>
          <w:pgSz w:w="11906" w:h="16838" w:orient="portrait"/>
          <w:pgMar w:top="851" w:right="851" w:bottom="680" w:left="1418" w:header="709" w:footer="709" w:gutter="0"/>
          <w:cols w:num="1" w:sep="0" w:space="708" w:equalWidth="1"/>
          <w:docGrid w:linePitch="360"/>
          <w:titlePg/>
        </w:sectPr>
      </w:pPr>
      <w:r>
        <w:rPr>
          <w:rFonts w:ascii="Times New Roman" w:hAnsi="Times New Roman" w:eastAsia="Times New Roman" w:cs="Times New Roman"/>
          <w:color w:val="000000"/>
          <w:sz w:val="28"/>
          <w:szCs w:val="28"/>
        </w:rPr>
      </w:r>
      <w:r/>
    </w:p>
    <w:p>
      <w:pPr>
        <w:jc w:val="right"/>
        <w:pageBreakBefore/>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Приложение № 2 </w:t>
      </w:r>
      <w:r>
        <w:rPr>
          <w:rFonts w:ascii="Times New Roman" w:hAnsi="Times New Roman" w:eastAsia="Times New Roman" w:cs="Times New Roman"/>
          <w:color w:val="000000"/>
          <w:sz w:val="28"/>
          <w:szCs w:val="28"/>
        </w:rPr>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к документации об аукционе</w:t>
      </w:r>
      <w:r>
        <w:rPr>
          <w:rFonts w:ascii="Times New Roman" w:hAnsi="Times New Roman" w:eastAsia="Times New Roman" w:cs="Times New Roman"/>
          <w:color w:val="000000"/>
          <w:sz w:val="28"/>
          <w:szCs w:val="28"/>
        </w:rPr>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r>
      <w:r>
        <w:rPr>
          <w:rFonts w:ascii="Times New Roman" w:hAnsi="Times New Roman" w:eastAsia="Times New Roman" w:cs="Times New Roman"/>
          <w:color w:val="000000"/>
          <w:sz w:val="28"/>
          <w:szCs w:val="28"/>
        </w:rPr>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ПРОЕКТ</w:t>
      </w:r>
      <w:r>
        <w:rPr>
          <w:rFonts w:ascii="Times New Roman" w:hAnsi="Times New Roman" w:eastAsia="Times New Roman" w:cs="Times New Roman"/>
          <w:color w:val="000000"/>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r>
      <w:r>
        <w:rPr>
          <w:rFonts w:ascii="Times New Roman" w:hAnsi="Times New Roman" w:eastAsia="Times New Roman" w:cs="Times New Roman"/>
          <w:color w:val="000000"/>
          <w:sz w:val="28"/>
          <w:szCs w:val="28"/>
        </w:rPr>
      </w:r>
      <w:r/>
    </w:p>
    <w:p>
      <w:pPr>
        <w:jc w:val="right"/>
      </w:pPr>
      <w:r>
        <w:rPr>
          <w:sz w:val="28"/>
          <w:szCs w:val="28"/>
        </w:rPr>
      </w:r>
      <w:r>
        <w:rPr>
          <w:sz w:val="28"/>
          <w:szCs w:val="28"/>
        </w:rPr>
      </w:r>
      <w:r/>
    </w:p>
    <w:p>
      <w:pPr>
        <w:jc w:val="center"/>
      </w:pPr>
      <w:r>
        <w:rPr>
          <w:rFonts w:ascii="Times New Roman" w:hAnsi="Times New Roman" w:cs="Times New Roman"/>
          <w:b/>
          <w:sz w:val="28"/>
          <w:szCs w:val="28"/>
        </w:rPr>
        <w:t xml:space="preserve">ДОГОВОР</w:t>
      </w:r>
      <w:r>
        <w:rPr>
          <w:rFonts w:ascii="Times New Roman" w:hAnsi="Times New Roman" w:cs="Times New Roman"/>
          <w:b/>
          <w:sz w:val="28"/>
          <w:szCs w:val="28"/>
        </w:rPr>
      </w:r>
      <w:r/>
    </w:p>
    <w:p>
      <w:pPr>
        <w:jc w:val="center"/>
      </w:pPr>
      <w:r>
        <w:rPr>
          <w:rFonts w:ascii="Times New Roman" w:hAnsi="Times New Roman" w:cs="Times New Roman"/>
          <w:b/>
          <w:sz w:val="28"/>
          <w:szCs w:val="28"/>
        </w:rPr>
        <w:t xml:space="preserve">о закреплении доли квоты добычи (вылова) водных биологических ресурсов во внутренних морских водах Российской Федерации, </w:t>
      </w:r>
      <w:r>
        <w:rPr>
          <w:rFonts w:ascii="Times New Roman" w:hAnsi="Times New Roman" w:cs="Times New Roman"/>
          <w:b/>
          <w:sz w:val="28"/>
          <w:szCs w:val="28"/>
        </w:rPr>
        <w:br/>
        <w:t xml:space="preserve">в территориальном море Российской Федерации, на континентальном шельфе Российской Федерации, в исключительной экономической зоне Росси</w:t>
      </w:r>
      <w:r>
        <w:rPr>
          <w:rFonts w:ascii="Times New Roman" w:hAnsi="Times New Roman" w:cs="Times New Roman"/>
          <w:b/>
          <w:sz w:val="28"/>
          <w:szCs w:val="28"/>
        </w:rPr>
        <w:t xml:space="preserve">йской Федерации, Каспийском море для осуществления промышленного рыболовства и (или) прибрежного рыболовства</w:t>
      </w:r>
      <w:r>
        <w:rPr>
          <w:rFonts w:ascii="Times New Roman" w:hAnsi="Times New Roman" w:cs="Times New Roman"/>
          <w:sz w:val="28"/>
          <w:szCs w:val="28"/>
        </w:rPr>
      </w:r>
      <w:r/>
    </w:p>
    <w:p>
      <w:pPr>
        <w:outlineLvl w:val="0"/>
      </w:pPr>
      <w:r>
        <w:rPr>
          <w:rFonts w:ascii="Times New Roman" w:hAnsi="Times New Roman" w:cs="Times New Roman"/>
          <w:sz w:val="28"/>
          <w:szCs w:val="28"/>
        </w:rPr>
      </w:r>
      <w:r>
        <w:rPr>
          <w:rFonts w:ascii="Times New Roman" w:hAnsi="Times New Roman" w:cs="Times New Roman"/>
          <w:sz w:val="28"/>
          <w:szCs w:val="28"/>
        </w:rPr>
      </w:r>
      <w:r/>
    </w:p>
    <w:p>
      <w:pPr>
        <w:pStyle w:val="942"/>
        <w:keepNext w:val="0"/>
        <w:spacing w:before="0"/>
      </w:pPr>
      <w:r>
        <w:rPr>
          <w:rFonts w:ascii="Times New Roman" w:hAnsi="Times New Roman" w:eastAsia="Times New Roman" w:cs="Times New Roman"/>
          <w:b w:val="0"/>
          <w:bCs w:val="0"/>
          <w:color w:val="000000" w:themeColor="text1"/>
        </w:rPr>
        <w:t xml:space="preserve">Москва                                                                           "__" ______________ 20__ г.</w:t>
      </w:r>
      <w:r>
        <w:rPr>
          <w:rFonts w:ascii="Times New Roman" w:hAnsi="Times New Roman" w:eastAsia="Times New Roman" w:cs="Times New Roman"/>
          <w:b w:val="0"/>
          <w:bCs w:val="0"/>
          <w:color w:val="000000" w:themeColor="text1"/>
        </w:rPr>
      </w:r>
      <w:r/>
    </w:p>
    <w:p>
      <w:r/>
      <w:r/>
    </w:p>
    <w:p>
      <w:pPr>
        <w:pStyle w:val="942"/>
        <w:ind w:firstLine="567"/>
        <w:keepLines w:val="0"/>
        <w:keepNext w:val="0"/>
        <w:spacing w:before="0"/>
      </w:pPr>
      <w:r>
        <w:rPr>
          <w:rFonts w:ascii="Times New Roman" w:hAnsi="Times New Roman" w:eastAsia="Times New Roman" w:cs="Times New Roman"/>
          <w:b w:val="0"/>
          <w:bCs w:val="0"/>
          <w:color w:val="auto"/>
        </w:rPr>
        <w:t xml:space="preserve">Федеральное агентство по рыболовству в лице _____________________________________________________________________________________________________</w:t>
      </w:r>
      <w:r>
        <w:rPr>
          <w:rFonts w:ascii="Times New Roman" w:hAnsi="Times New Roman" w:eastAsia="Times New Roman" w:cs="Times New Roman"/>
          <w:b w:val="0"/>
          <w:bCs w:val="0"/>
        </w:rPr>
        <w:t xml:space="preserve">___________________________</w:t>
      </w:r>
      <w:r>
        <w:rPr>
          <w:rFonts w:ascii="Times New Roman" w:hAnsi="Times New Roman" w:eastAsia="Times New Roman" w:cs="Times New Roman"/>
          <w:b w:val="0"/>
          <w:bCs w:val="0"/>
          <w:color w:val="auto"/>
        </w:rPr>
        <w:t xml:space="preserve">,</w:t>
      </w:r>
      <w:r>
        <w:rPr>
          <w:rFonts w:ascii="Times New Roman" w:hAnsi="Times New Roman" w:eastAsia="Times New Roman" w:cs="Times New Roman"/>
          <w:b w:val="0"/>
          <w:bCs w:val="0"/>
          <w:color w:val="auto"/>
        </w:rPr>
      </w:r>
      <w:r/>
    </w:p>
    <w:p>
      <w:pPr>
        <w:pStyle w:val="942"/>
        <w:ind w:firstLine="567"/>
        <w:keepLines w:val="0"/>
        <w:keepNext w:val="0"/>
        <w:spacing w:before="0"/>
      </w:pPr>
      <w:r>
        <w:rPr>
          <w:rFonts w:ascii="Times New Roman" w:hAnsi="Times New Roman" w:eastAsia="Times New Roman" w:cs="Times New Roman"/>
          <w:b w:val="0"/>
          <w:bCs w:val="0"/>
          <w:color w:val="auto"/>
        </w:rPr>
        <w:t xml:space="preserve">      </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 </w:t>
      </w:r>
      <w:r>
        <w:rPr>
          <w:rFonts w:ascii="Times New Roman" w:hAnsi="Times New Roman" w:eastAsia="Times New Roman" w:cs="Times New Roman"/>
          <w:b w:val="0"/>
          <w:bCs w:val="0"/>
          <w:color w:val="auto"/>
          <w:sz w:val="22"/>
          <w:szCs w:val="22"/>
        </w:rPr>
        <w:t xml:space="preserve">(наименование должности, фамилия, имя, отчество (при наличии)</w:t>
      </w:r>
      <w:r>
        <w:rPr>
          <w:rFonts w:ascii="Times New Roman" w:hAnsi="Times New Roman" w:eastAsia="Times New Roman" w:cs="Times New Roman"/>
          <w:b w:val="0"/>
          <w:bCs w:val="0"/>
          <w:color w:val="auto"/>
          <w:sz w:val="22"/>
          <w:szCs w:val="22"/>
        </w:rPr>
      </w:r>
      <w:r/>
    </w:p>
    <w:p>
      <w:pPr>
        <w:pStyle w:val="942"/>
        <w:keepLines w:val="0"/>
        <w:keepNext w:val="0"/>
        <w:spacing w:before="0"/>
      </w:pPr>
      <w:r>
        <w:rPr>
          <w:rFonts w:ascii="Times New Roman" w:hAnsi="Times New Roman" w:eastAsia="Times New Roman" w:cs="Times New Roman"/>
          <w:b w:val="0"/>
          <w:bCs w:val="0"/>
          <w:color w:val="auto"/>
        </w:rPr>
        <w:t xml:space="preserve">действу</w:t>
      </w:r>
      <w:r>
        <w:rPr>
          <w:rFonts w:ascii="Times New Roman" w:hAnsi="Times New Roman" w:eastAsia="Times New Roman" w:cs="Times New Roman"/>
          <w:b w:val="0"/>
          <w:bCs w:val="0"/>
          <w:color w:val="auto"/>
        </w:rPr>
        <w:t xml:space="preserve">ющего на основании</w:t>
      </w:r>
      <w:r>
        <w:rPr>
          <w:rFonts w:ascii="Times New Roman" w:hAnsi="Times New Roman" w:eastAsia="Times New Roman" w:cs="Times New Roman"/>
          <w:b w:val="0"/>
          <w:bCs w:val="0"/>
          <w:color w:val="auto"/>
          <w:sz w:val="22"/>
          <w:szCs w:val="22"/>
        </w:rPr>
        <w:t xml:space="preserve"> _________________________________________________</w:t>
      </w:r>
      <w:r>
        <w:rPr>
          <w:rFonts w:ascii="Times New Roman" w:hAnsi="Times New Roman" w:eastAsia="Times New Roman" w:cs="Times New Roman"/>
          <w:b w:val="0"/>
          <w:bCs w:val="0"/>
          <w:color w:val="auto"/>
          <w:sz w:val="22"/>
          <w:szCs w:val="22"/>
        </w:rPr>
      </w:r>
      <w:r/>
    </w:p>
    <w:p>
      <w:pPr>
        <w:pStyle w:val="942"/>
        <w:ind w:firstLine="567"/>
        <w:keepLines w:val="0"/>
        <w:keepNext w:val="0"/>
        <w:spacing w:before="0"/>
      </w:pPr>
      <w:r>
        <w:rPr>
          <w:rFonts w:ascii="Times New Roman" w:hAnsi="Times New Roman" w:eastAsia="Times New Roman" w:cs="Times New Roman"/>
          <w:b w:val="0"/>
          <w:bCs w:val="0"/>
          <w:color w:val="auto"/>
        </w:rPr>
        <w:t xml:space="preserve">         </w:t>
      </w:r>
      <w:r>
        <w:rPr>
          <w:rFonts w:ascii="Times New Roman" w:hAnsi="Times New Roman" w:eastAsia="Times New Roman" w:cs="Times New Roman"/>
          <w:b w:val="0"/>
          <w:bCs w:val="0"/>
          <w:color w:val="auto"/>
          <w:sz w:val="22"/>
          <w:szCs w:val="22"/>
        </w:rPr>
        <w:t xml:space="preserve">(правоустанавливающий документ или доверенность,</w:t>
      </w:r>
      <w:r>
        <w:rPr>
          <w:rFonts w:ascii="Times New Roman" w:hAnsi="Times New Roman" w:eastAsia="Times New Roman" w:cs="Times New Roman"/>
          <w:b w:val="0"/>
          <w:bCs w:val="0"/>
          <w:color w:val="auto"/>
        </w:rPr>
        <w:t xml:space="preserve"> </w:t>
      </w:r>
      <w:r>
        <w:rPr>
          <w:rFonts w:ascii="Times New Roman" w:hAnsi="Times New Roman" w:eastAsia="Times New Roman" w:cs="Times New Roman"/>
          <w:b w:val="0"/>
          <w:bCs w:val="0"/>
          <w:color w:val="auto"/>
          <w:sz w:val="22"/>
          <w:szCs w:val="22"/>
        </w:rPr>
        <w:t xml:space="preserve">их реквизиты)</w:t>
      </w:r>
      <w:r>
        <w:rPr>
          <w:rFonts w:ascii="Times New Roman" w:hAnsi="Times New Roman" w:eastAsia="Times New Roman" w:cs="Times New Roman"/>
          <w:b w:val="0"/>
          <w:bCs w:val="0"/>
          <w:color w:val="auto"/>
          <w:sz w:val="22"/>
          <w:szCs w:val="22"/>
        </w:rPr>
      </w:r>
      <w:r/>
    </w:p>
    <w:p>
      <w:pPr>
        <w:pStyle w:val="942"/>
        <w:keepLines w:val="0"/>
        <w:keepNext w:val="0"/>
        <w:spacing w:before="0"/>
      </w:pPr>
      <w:r>
        <w:rPr>
          <w:rFonts w:ascii="Times New Roman" w:hAnsi="Times New Roman" w:eastAsia="Times New Roman" w:cs="Times New Roman"/>
          <w:b w:val="0"/>
          <w:bCs w:val="0"/>
          <w:color w:val="auto"/>
        </w:rPr>
        <w:t xml:space="preserve">в дальнейшем именуемое Агентство, с одной стороны, и ______________________________________________________________</w:t>
      </w:r>
      <w:r>
        <w:rPr>
          <w:rFonts w:ascii="Times New Roman" w:hAnsi="Times New Roman" w:eastAsia="Times New Roman" w:cs="Times New Roman"/>
          <w:b w:val="0"/>
          <w:bCs w:val="0"/>
          <w:color w:val="auto"/>
        </w:rPr>
        <w:t xml:space="preserve">__________________________________</w:t>
      </w:r>
      <w:r>
        <w:rPr>
          <w:rFonts w:ascii="Times New Roman" w:hAnsi="Times New Roman" w:eastAsia="Times New Roman" w:cs="Times New Roman"/>
          <w:b w:val="0"/>
          <w:bCs w:val="0"/>
        </w:rPr>
        <w:t xml:space="preserve">________________________________</w:t>
      </w:r>
      <w:r>
        <w:rPr>
          <w:rFonts w:ascii="Times New Roman" w:hAnsi="Times New Roman" w:eastAsia="Times New Roman" w:cs="Times New Roman"/>
          <w:b w:val="0"/>
          <w:bCs w:val="0"/>
          <w:color w:val="auto"/>
        </w:rPr>
      </w:r>
      <w:r/>
    </w:p>
    <w:p>
      <w:pPr>
        <w:pStyle w:val="942"/>
        <w:ind w:firstLine="567"/>
        <w:keepNext w:val="0"/>
        <w:spacing w:before="0"/>
      </w:pPr>
      <w:r>
        <w:rPr>
          <w:rFonts w:ascii="Times New Roman" w:hAnsi="Times New Roman" w:eastAsia="Times New Roman" w:cs="Times New Roman"/>
          <w:b w:val="0"/>
          <w:bCs w:val="0"/>
          <w:color w:val="auto"/>
          <w:sz w:val="22"/>
          <w:szCs w:val="22"/>
        </w:rPr>
        <w:t xml:space="preserve">(полное наименование юридического лица или фамилия, имя, отчество (при наличии) </w:t>
      </w: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sz w:val="22"/>
          <w:szCs w:val="22"/>
        </w:rPr>
      </w:r>
      <w:r/>
    </w:p>
    <w:p>
      <w:pPr>
        <w:ind w:firstLine="567"/>
      </w:pPr>
      <w:r>
        <w:t xml:space="preserve">                                             </w:t>
      </w:r>
      <w:r>
        <w:rPr>
          <w:rFonts w:ascii="Times New Roman" w:hAnsi="Times New Roman" w:eastAsia="Times New Roman" w:cs="Times New Roman"/>
          <w:bCs/>
        </w:rPr>
        <w:t xml:space="preserve">индивидуального предпринимателя)</w:t>
      </w:r>
      <w:r/>
    </w:p>
    <w:p>
      <w:pPr>
        <w:pStyle w:val="942"/>
        <w:jc w:val="left"/>
        <w:keepLines w:val="0"/>
        <w:keepNext w:val="0"/>
        <w:spacing w:before="0"/>
      </w:pPr>
      <w:r>
        <w:rPr>
          <w:rFonts w:ascii="Times New Roman" w:hAnsi="Times New Roman" w:eastAsia="Times New Roman" w:cs="Times New Roman"/>
          <w:b w:val="0"/>
          <w:bCs w:val="0"/>
          <w:color w:val="auto"/>
        </w:rPr>
        <w:t xml:space="preserve">в лице</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______________________</w:t>
      </w:r>
      <w:r>
        <w:rPr>
          <w:rFonts w:ascii="Times New Roman" w:hAnsi="Times New Roman" w:eastAsia="Times New Roman" w:cs="Times New Roman"/>
          <w:b w:val="0"/>
          <w:bCs w:val="0"/>
          <w:color w:val="auto"/>
        </w:rPr>
        <w:t xml:space="preserve">____________________________________________,</w:t>
      </w:r>
      <w:r>
        <w:rPr>
          <w:rFonts w:ascii="Times New Roman" w:hAnsi="Times New Roman" w:eastAsia="Times New Roman" w:cs="Times New Roman"/>
          <w:b w:val="0"/>
          <w:bCs w:val="0"/>
          <w:color w:val="auto"/>
        </w:rPr>
      </w:r>
      <w:r/>
    </w:p>
    <w:p>
      <w:pPr>
        <w:pStyle w:val="942"/>
        <w:ind w:firstLine="567"/>
        <w:keepNext w:val="0"/>
        <w:spacing w:before="0"/>
      </w:pPr>
      <w:r>
        <w:rPr>
          <w:rFonts w:ascii="Times New Roman" w:hAnsi="Times New Roman" w:eastAsia="Times New Roman" w:cs="Times New Roman"/>
          <w:b w:val="0"/>
          <w:bCs w:val="0"/>
          <w:color w:val="auto"/>
        </w:rPr>
        <w:t xml:space="preserve"> </w:t>
      </w:r>
      <w:r>
        <w:rPr>
          <w:rFonts w:ascii="Times New Roman" w:hAnsi="Times New Roman" w:eastAsia="Times New Roman" w:cs="Times New Roman"/>
          <w:b w:val="0"/>
          <w:bCs w:val="0"/>
          <w:color w:val="auto"/>
          <w:sz w:val="22"/>
          <w:szCs w:val="22"/>
        </w:rPr>
        <w:t xml:space="preserve">(фамилия, имя, отчество (при наличии) гражданина или лица,</w:t>
      </w: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color w:val="auto"/>
          <w:sz w:val="22"/>
          <w:szCs w:val="22"/>
        </w:rPr>
        <w:t xml:space="preserve">действующего от имени </w:t>
      </w:r>
      <w:r>
        <w:rPr>
          <w:rFonts w:ascii="Times New Roman" w:hAnsi="Times New Roman" w:eastAsia="Times New Roman" w:cs="Times New Roman"/>
          <w:b w:val="0"/>
          <w:bCs w:val="0"/>
          <w:sz w:val="22"/>
          <w:szCs w:val="22"/>
        </w:rPr>
      </w:r>
      <w:r/>
    </w:p>
    <w:p>
      <w:pPr>
        <w:pStyle w:val="942"/>
        <w:ind w:firstLine="567"/>
        <w:keepLines w:val="0"/>
        <w:keepNext w:val="0"/>
        <w:spacing w:before="0"/>
      </w:pP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color w:val="auto"/>
          <w:sz w:val="22"/>
          <w:szCs w:val="22"/>
        </w:rPr>
        <w:t xml:space="preserve">юридического лица или индивидуального предпринимателя)</w:t>
      </w:r>
      <w:r>
        <w:rPr>
          <w:rFonts w:ascii="Times New Roman" w:hAnsi="Times New Roman" w:eastAsia="Times New Roman" w:cs="Times New Roman"/>
          <w:b w:val="0"/>
          <w:bCs w:val="0"/>
          <w:color w:val="auto"/>
          <w:sz w:val="22"/>
          <w:szCs w:val="22"/>
        </w:rPr>
      </w:r>
      <w:r/>
    </w:p>
    <w:p>
      <w:pPr>
        <w:pStyle w:val="942"/>
        <w:ind w:firstLine="567"/>
        <w:keepNext w:val="0"/>
        <w:spacing w:before="0"/>
      </w:pPr>
      <w:r>
        <w:rPr>
          <w:rFonts w:ascii="Times New Roman" w:hAnsi="Times New Roman" w:eastAsia="Times New Roman" w:cs="Times New Roman"/>
          <w:b w:val="0"/>
          <w:bCs w:val="0"/>
          <w:sz w:val="22"/>
          <w:szCs w:val="22"/>
        </w:rPr>
      </w:r>
      <w:r>
        <w:rPr>
          <w:rFonts w:ascii="Times New Roman" w:hAnsi="Times New Roman" w:eastAsia="Times New Roman" w:cs="Times New Roman"/>
          <w:b w:val="0"/>
          <w:bCs w:val="0"/>
          <w:sz w:val="22"/>
          <w:szCs w:val="22"/>
        </w:rPr>
      </w:r>
      <w:r/>
    </w:p>
    <w:p>
      <w:pPr>
        <w:pStyle w:val="942"/>
        <w:jc w:val="left"/>
        <w:keepLines w:val="0"/>
        <w:keepNext w:val="0"/>
        <w:spacing w:before="0"/>
      </w:pPr>
      <w:r>
        <w:rPr>
          <w:rFonts w:ascii="Times New Roman" w:hAnsi="Times New Roman" w:eastAsia="Times New Roman" w:cs="Times New Roman"/>
          <w:b w:val="0"/>
          <w:bCs w:val="0"/>
          <w:color w:val="auto"/>
        </w:rPr>
        <w:t xml:space="preserve">действующего</w:t>
      </w:r>
      <w:r>
        <w:rPr>
          <w:rFonts w:ascii="Times New Roman" w:hAnsi="Times New Roman" w:eastAsia="Times New Roman" w:cs="Times New Roman"/>
          <w:b w:val="0"/>
          <w:bCs w:val="0"/>
          <w:color w:val="auto"/>
        </w:rPr>
        <w:t xml:space="preserve"> на основании ________________________________________________</w:t>
      </w:r>
      <w:r>
        <w:rPr>
          <w:rFonts w:ascii="Times New Roman" w:hAnsi="Times New Roman" w:eastAsia="Times New Roman" w:cs="Times New Roman"/>
          <w:b w:val="0"/>
          <w:bCs w:val="0"/>
        </w:rPr>
        <w:t xml:space="preserve">_________________</w:t>
      </w:r>
      <w:r>
        <w:rPr>
          <w:rFonts w:ascii="Times New Roman" w:hAnsi="Times New Roman" w:eastAsia="Times New Roman" w:cs="Times New Roman"/>
          <w:b w:val="0"/>
          <w:bCs w:val="0"/>
          <w:color w:val="auto"/>
        </w:rPr>
        <w:t xml:space="preserve">,</w:t>
      </w:r>
      <w:r>
        <w:rPr>
          <w:rFonts w:ascii="Times New Roman" w:hAnsi="Times New Roman" w:eastAsia="Times New Roman" w:cs="Times New Roman"/>
          <w:b w:val="0"/>
          <w:bCs w:val="0"/>
          <w:color w:val="auto"/>
        </w:rPr>
      </w:r>
      <w:r/>
    </w:p>
    <w:p>
      <w:pPr>
        <w:pStyle w:val="942"/>
        <w:ind w:firstLine="567"/>
        <w:keepLines w:val="0"/>
        <w:keepNext w:val="0"/>
        <w:spacing w:before="0"/>
      </w:pPr>
      <w:r>
        <w:rPr>
          <w:rFonts w:ascii="Times New Roman" w:hAnsi="Times New Roman" w:eastAsia="Times New Roman" w:cs="Times New Roman"/>
          <w:b w:val="0"/>
          <w:bCs w:val="0"/>
          <w:color w:val="auto"/>
        </w:rPr>
        <w:t xml:space="preserve">        </w:t>
      </w:r>
      <w:r>
        <w:rPr>
          <w:rFonts w:ascii="Times New Roman" w:hAnsi="Times New Roman" w:eastAsia="Times New Roman" w:cs="Times New Roman"/>
          <w:b w:val="0"/>
          <w:bCs w:val="0"/>
          <w:color w:val="auto"/>
          <w:sz w:val="22"/>
          <w:szCs w:val="22"/>
        </w:rPr>
        <w:t xml:space="preserve">(документ, наделяющий лицо полномочиями на осуществление действий)</w:t>
      </w:r>
      <w:r>
        <w:rPr>
          <w:rFonts w:ascii="Times New Roman" w:hAnsi="Times New Roman" w:eastAsia="Times New Roman" w:cs="Times New Roman"/>
          <w:b w:val="0"/>
          <w:bCs w:val="0"/>
          <w:color w:val="auto"/>
          <w:sz w:val="22"/>
          <w:szCs w:val="22"/>
        </w:rPr>
      </w:r>
      <w:r/>
    </w:p>
    <w:p>
      <w:pPr>
        <w:pStyle w:val="942"/>
        <w:keepLines w:val="0"/>
        <w:keepNext w:val="0"/>
        <w:spacing w:before="0"/>
      </w:pPr>
      <w:r>
        <w:rPr>
          <w:rFonts w:ascii="Times New Roman" w:hAnsi="Times New Roman" w:eastAsia="Times New Roman" w:cs="Times New Roman"/>
          <w:b w:val="0"/>
          <w:bCs w:val="0"/>
          <w:color w:val="auto"/>
        </w:rPr>
        <w:t xml:space="preserve">именуемый в дальнейшем Пользователь, с другой стороны, совместно именуемые</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Стороны, заключили настоя</w:t>
      </w:r>
      <w:r>
        <w:rPr>
          <w:rFonts w:ascii="Times New Roman" w:hAnsi="Times New Roman" w:eastAsia="Times New Roman" w:cs="Times New Roman"/>
          <w:b w:val="0"/>
          <w:bCs w:val="0"/>
          <w:color w:val="auto"/>
        </w:rPr>
        <w:t xml:space="preserve">щий Договор о следующем:</w:t>
      </w:r>
      <w:r>
        <w:rPr>
          <w:rFonts w:ascii="Times New Roman" w:hAnsi="Times New Roman" w:eastAsia="Times New Roman" w:cs="Times New Roman"/>
          <w:b w:val="0"/>
          <w:bCs w:val="0"/>
          <w:color w:val="auto"/>
        </w:rPr>
      </w:r>
      <w:r/>
    </w:p>
    <w:p>
      <w:r>
        <w:rPr>
          <w:rFonts w:ascii="Times New Roman" w:hAnsi="Times New Roman" w:cs="Times New Roman"/>
          <w:sz w:val="28"/>
          <w:szCs w:val="28"/>
        </w:rP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I. Предмет Договора</w:t>
      </w:r>
      <w:r>
        <w:rPr>
          <w:rFonts w:ascii="Times New Roman" w:hAnsi="Times New Roman" w:cs="Times New Roman"/>
          <w:b/>
          <w:sz w:val="28"/>
          <w:szCs w:val="28"/>
        </w:rPr>
      </w:r>
      <w:r/>
    </w:p>
    <w:p>
      <w:r>
        <w:rPr>
          <w:rFonts w:ascii="Times New Roman" w:hAnsi="Times New Roman" w:cs="Times New Roman"/>
          <w:sz w:val="28"/>
          <w:szCs w:val="28"/>
        </w:rPr>
      </w:r>
      <w:r>
        <w:rPr>
          <w:rFonts w:ascii="Times New Roman" w:hAnsi="Times New Roman" w:cs="Times New Roman"/>
          <w:sz w:val="28"/>
          <w:szCs w:val="28"/>
        </w:rPr>
      </w:r>
      <w:r/>
    </w:p>
    <w:p>
      <w:pPr>
        <w:pStyle w:val="942"/>
        <w:ind w:firstLine="567"/>
        <w:keepLines w:val="0"/>
        <w:keepNext w:val="0"/>
        <w:spacing w:before="0"/>
      </w:pPr>
      <w:r>
        <w:rPr>
          <w:rFonts w:ascii="Times New Roman" w:hAnsi="Times New Roman" w:eastAsia="Times New Roman" w:cs="Times New Roman"/>
          <w:b w:val="0"/>
          <w:bCs w:val="0"/>
          <w:color w:val="auto"/>
        </w:rPr>
        <w:t xml:space="preserve">1. Согласно настоящему Договору на основании</w:t>
      </w:r>
      <w:r>
        <w:rPr>
          <w:rFonts w:ascii="Times New Roman" w:hAnsi="Times New Roman" w:eastAsia="Times New Roman" w:cs="Times New Roman"/>
          <w:b w:val="0"/>
          <w:bCs w:val="0"/>
          <w:color w:val="auto"/>
        </w:rPr>
        <w:br/>
        <w:t xml:space="preserve">___________________________________________________________________________</w:t>
      </w:r>
      <w:r>
        <w:rPr>
          <w:rFonts w:ascii="Times New Roman" w:hAnsi="Times New Roman" w:eastAsia="Times New Roman" w:cs="Times New Roman"/>
          <w:b w:val="0"/>
          <w:bCs w:val="0"/>
        </w:rPr>
        <w:t xml:space="preserve">______________________________________________________</w:t>
      </w:r>
      <w:r>
        <w:rPr>
          <w:rFonts w:ascii="Times New Roman" w:hAnsi="Times New Roman" w:eastAsia="Times New Roman" w:cs="Times New Roman"/>
          <w:b w:val="0"/>
          <w:bCs w:val="0"/>
          <w:color w:val="auto"/>
        </w:rPr>
      </w:r>
      <w:r/>
    </w:p>
    <w:p>
      <w:pPr>
        <w:pStyle w:val="942"/>
        <w:keepNext w:val="0"/>
        <w:spacing w:before="0"/>
      </w:pPr>
      <w:r>
        <w:rPr>
          <w:rFonts w:ascii="Times New Roman" w:hAnsi="Times New Roman" w:eastAsia="Times New Roman" w:cs="Times New Roman"/>
          <w:b w:val="0"/>
          <w:bCs w:val="0"/>
          <w:color w:val="auto"/>
          <w:sz w:val="22"/>
          <w:szCs w:val="22"/>
        </w:rPr>
        <w:t xml:space="preserve">(реквизиты протокола аукциона по п</w:t>
      </w:r>
      <w:r>
        <w:rPr>
          <w:rFonts w:ascii="Times New Roman" w:hAnsi="Times New Roman" w:eastAsia="Times New Roman" w:cs="Times New Roman"/>
          <w:b w:val="0"/>
          <w:bCs w:val="0"/>
          <w:color w:val="auto"/>
          <w:sz w:val="22"/>
          <w:szCs w:val="22"/>
        </w:rPr>
        <w:t xml:space="preserve">родаже права на</w:t>
      </w: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color w:val="auto"/>
          <w:sz w:val="22"/>
          <w:szCs w:val="22"/>
        </w:rPr>
        <w:t xml:space="preserve">заключение договора о закреплении доли </w:t>
      </w:r>
      <w:r>
        <w:rPr>
          <w:rFonts w:ascii="Times New Roman" w:hAnsi="Times New Roman" w:eastAsia="Times New Roman" w:cs="Times New Roman"/>
          <w:b w:val="0"/>
          <w:bCs w:val="0"/>
          <w:color w:val="auto"/>
          <w:sz w:val="22"/>
          <w:szCs w:val="22"/>
        </w:rPr>
        <w:br/>
      </w: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color w:val="auto"/>
          <w:sz w:val="22"/>
          <w:szCs w:val="22"/>
        </w:rPr>
        <w:t xml:space="preserve">квоты добычи (вылова) водных</w:t>
      </w: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color w:val="auto"/>
          <w:sz w:val="22"/>
          <w:szCs w:val="22"/>
        </w:rPr>
        <w:t xml:space="preserve">биологических ресурсов</w:t>
      </w: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color w:val="auto"/>
          <w:sz w:val="22"/>
          <w:szCs w:val="22"/>
        </w:rPr>
      </w:r>
      <w:r/>
    </w:p>
    <w:p>
      <w:pPr>
        <w:pStyle w:val="942"/>
        <w:keepLines w:val="0"/>
        <w:keepNext w:val="0"/>
        <w:spacing w:before="0"/>
        <w:rPr>
          <w:b/>
          <w:bCs/>
        </w:rPr>
      </w:pPr>
      <w:r>
        <w:rPr>
          <w:rFonts w:ascii="Times New Roman" w:hAnsi="Times New Roman" w:eastAsia="Times New Roman" w:cs="Times New Roman"/>
          <w:b w:val="0"/>
          <w:bCs w:val="0"/>
          <w:color w:val="auto"/>
        </w:rPr>
        <w:t xml:space="preserve">Агентство предоставляет, а Пользователь приобретает право на добычу (вылов)</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водных биологических ресурсов во в</w:t>
      </w:r>
      <w:r>
        <w:rPr>
          <w:rFonts w:ascii="Times New Roman" w:hAnsi="Times New Roman" w:eastAsia="Times New Roman" w:cs="Times New Roman"/>
          <w:b w:val="0"/>
          <w:bCs w:val="0"/>
          <w:color w:val="auto"/>
        </w:rPr>
        <w:t xml:space="preserve">нутренних морских водах Российской</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Федерации, в территориальном море Российской Федерации, </w:t>
      </w:r>
      <w:r>
        <w:rPr>
          <w:rFonts w:ascii="Times New Roman" w:hAnsi="Times New Roman" w:eastAsia="Times New Roman" w:cs="Times New Roman"/>
          <w:b w:val="0"/>
          <w:bCs w:val="0"/>
          <w:color w:val="auto"/>
        </w:rPr>
        <w:br/>
        <w:t xml:space="preserve">на континентальном</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шельфе Российской Федерации, в исключительной экономической зоне Российской</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Федерации, Каспийском море </w:t>
      </w:r>
      <w:r>
        <w:rPr>
          <w:rFonts w:ascii="Times New Roman" w:hAnsi="Times New Roman" w:eastAsia="Times New Roman" w:cs="Times New Roman"/>
          <w:b w:val="0"/>
          <w:bCs w:val="0"/>
          <w:color w:val="auto"/>
        </w:rPr>
        <w:br/>
      </w:r>
      <w:r>
        <w:rPr>
          <w:rFonts w:ascii="Times New Roman" w:hAnsi="Times New Roman" w:eastAsia="Times New Roman" w:cs="Times New Roman"/>
          <w:b w:val="0"/>
          <w:bCs w:val="0"/>
          <w:color w:val="auto"/>
        </w:rPr>
        <w:t xml:space="preserve">для осуществления добычи (вылова) </w:t>
      </w:r>
      <w:r>
        <w:rPr>
          <w:rFonts w:ascii="Times New Roman" w:hAnsi="Times New Roman" w:eastAsia="Times New Roman" w:cs="Times New Roman"/>
          <w:b/>
          <w:bCs/>
          <w:color w:val="auto"/>
        </w:rPr>
        <w:t xml:space="preserve">окуня морского в Северо-Курильской зоне в р</w:t>
      </w:r>
      <w:r>
        <w:rPr>
          <w:rFonts w:ascii="Times New Roman" w:hAnsi="Times New Roman" w:eastAsia="Times New Roman" w:cs="Times New Roman"/>
          <w:b/>
          <w:bCs/>
          <w:color w:val="auto"/>
        </w:rPr>
        <w:t xml:space="preserve">азмере 35,158%</w:t>
      </w:r>
      <w:r>
        <w:rPr>
          <w:b/>
          <w:bCs/>
        </w:rPr>
        <w:t xml:space="preserve">.</w:t>
      </w:r>
      <w:r>
        <w:rPr>
          <w:b/>
          <w:bCs/>
        </w:rPr>
      </w:r>
      <w:r/>
    </w:p>
    <w:p>
      <w:pPr>
        <w:ind w:firstLine="540"/>
      </w:pPr>
      <w:r>
        <w:rPr>
          <w:rFonts w:ascii="Times New Roman" w:hAnsi="Times New Roman" w:cs="Times New Roman"/>
          <w:sz w:val="28"/>
          <w:szCs w:val="28"/>
        </w:rPr>
        <w:t xml:space="preserve">2. На основании настоящего Договора пользователь осуществляет промышленное рыболовство и</w:t>
      </w:r>
      <w:r>
        <w:rPr>
          <w:rFonts w:ascii="Times New Roman" w:hAnsi="Times New Roman" w:cs="Times New Roman"/>
          <w:sz w:val="28"/>
          <w:szCs w:val="28"/>
        </w:rPr>
        <w:t xml:space="preserve"> (или) прибрежное рыболовство во внутренних морских водах Российской Федерации, в территориальном море Российской Федерации, на континентальном шельфе Российской Федерации, </w:t>
      </w:r>
      <w:r>
        <w:rPr>
          <w:rFonts w:ascii="Times New Roman" w:hAnsi="Times New Roman" w:cs="Times New Roman"/>
          <w:sz w:val="28"/>
          <w:szCs w:val="28"/>
        </w:rPr>
        <w:br/>
        <w:t xml:space="preserve">в исключительной экономической зоне Российской Федерации, Каспийском море.</w:t>
      </w:r>
      <w:r>
        <w:rPr>
          <w:rFonts w:ascii="Times New Roman" w:hAnsi="Times New Roman" w:cs="Times New Roman"/>
          <w:sz w:val="28"/>
          <w:szCs w:val="28"/>
        </w:rPr>
      </w:r>
      <w:r/>
    </w:p>
    <w:p>
      <w:r>
        <w:rPr>
          <w:rFonts w:ascii="Times New Roman" w:hAnsi="Times New Roman" w:cs="Times New Roman"/>
          <w:sz w:val="28"/>
          <w:szCs w:val="28"/>
        </w:rP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II. Пр</w:t>
      </w:r>
      <w:r>
        <w:rPr>
          <w:rFonts w:ascii="Times New Roman" w:hAnsi="Times New Roman" w:cs="Times New Roman"/>
          <w:b/>
          <w:sz w:val="28"/>
          <w:szCs w:val="28"/>
        </w:rPr>
        <w:t xml:space="preserve">ава и обязанности Сторон</w:t>
      </w:r>
      <w:r>
        <w:rPr>
          <w:rFonts w:ascii="Times New Roman" w:hAnsi="Times New Roman" w:cs="Times New Roman"/>
          <w:b/>
          <w:sz w:val="28"/>
          <w:szCs w:val="28"/>
        </w:rPr>
      </w:r>
      <w:r/>
    </w:p>
    <w:p>
      <w:r>
        <w:rPr>
          <w:rFonts w:ascii="Times New Roman" w:hAnsi="Times New Roman" w:cs="Times New Roman"/>
          <w:b/>
          <w:sz w:val="28"/>
          <w:szCs w:val="28"/>
        </w:rPr>
      </w:r>
      <w:r>
        <w:rPr>
          <w:rFonts w:ascii="Times New Roman" w:hAnsi="Times New Roman" w:cs="Times New Roman"/>
          <w:b/>
          <w:sz w:val="28"/>
          <w:szCs w:val="28"/>
        </w:rPr>
      </w:r>
      <w:r/>
    </w:p>
    <w:p>
      <w:pPr>
        <w:ind w:firstLine="540"/>
      </w:pPr>
      <w:r>
        <w:rPr>
          <w:rFonts w:ascii="Times New Roman" w:hAnsi="Times New Roman" w:cs="Times New Roman"/>
          <w:sz w:val="28"/>
          <w:szCs w:val="28"/>
        </w:rPr>
        <w:t xml:space="preserve">3. Агентство вправе:</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а) осуществлять взаимодействие с Пользователем по вопросам осуществления рыболовства;</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б) запрашивать информацию у Пользователя, касающуюся выполнения условий настоящего Договора.</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4. Агентство обязано:</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а) распределять Пользователю каждый календарный год в течение срока, указанного в </w:t>
      </w:r>
      <w:hyperlink w:tooltip="#Par85" w:anchor="Par85" w:history="1">
        <w:r>
          <w:rPr>
            <w:rFonts w:ascii="Times New Roman" w:hAnsi="Times New Roman" w:cs="Times New Roman"/>
            <w:sz w:val="28"/>
            <w:szCs w:val="28"/>
          </w:rPr>
          <w:t xml:space="preserve">пункте 7</w:t>
        </w:r>
      </w:hyperlink>
      <w:r>
        <w:rPr>
          <w:rFonts w:ascii="Times New Roman" w:hAnsi="Times New Roman" w:cs="Times New Roman"/>
          <w:sz w:val="28"/>
          <w:szCs w:val="28"/>
        </w:rPr>
        <w:t xml:space="preserve"> настоящего Договора, квоту добычи (вылова) водных биологических ресурсов во внутренних морских водах Российской Федерации, в тер</w:t>
      </w:r>
      <w:r>
        <w:rPr>
          <w:rFonts w:ascii="Times New Roman" w:hAnsi="Times New Roman" w:cs="Times New Roman"/>
          <w:sz w:val="28"/>
          <w:szCs w:val="28"/>
        </w:rPr>
        <w:t xml:space="preserve">риториальном море Российской Федерации, на континентальном шельфе Российской Федерации, в исключительной экономической зоне Российской Федерации, в Каспийском море для осуществления промышленного рыболовства и (или) прибрежного рыболовства по соответствующ</w:t>
      </w:r>
      <w:r>
        <w:rPr>
          <w:rFonts w:ascii="Times New Roman" w:hAnsi="Times New Roman" w:cs="Times New Roman"/>
          <w:sz w:val="28"/>
          <w:szCs w:val="28"/>
        </w:rPr>
        <w:t xml:space="preserve">ему виду водных биологических ресурсов и району добычи (вылова) водных биологических ресурсов исходя из утвержденных в установленном порядке на этот год соответствующих видов квот добычи (вылова) водных биологических ресурсов и доли, закрепленной за Пользо</w:t>
      </w:r>
      <w:r>
        <w:rPr>
          <w:rFonts w:ascii="Times New Roman" w:hAnsi="Times New Roman" w:cs="Times New Roman"/>
          <w:sz w:val="28"/>
          <w:szCs w:val="28"/>
        </w:rPr>
        <w:t xml:space="preserve">вателем;</w:t>
      </w:r>
      <w:r>
        <w:rPr>
          <w:sz w:val="28"/>
          <w:szCs w:val="28"/>
        </w:rPr>
      </w:r>
      <w:r/>
    </w:p>
    <w:p>
      <w:pPr>
        <w:ind w:firstLine="540"/>
        <w:spacing w:before="200"/>
      </w:pPr>
      <w:r>
        <w:rPr>
          <w:rFonts w:ascii="Times New Roman" w:hAnsi="Times New Roman" w:cs="Times New Roman"/>
          <w:sz w:val="28"/>
          <w:szCs w:val="28"/>
        </w:rPr>
        <w:t xml:space="preserve">б) публиковать ежегодно информацию о распределенных между юридическими лицами и индивидуальными предпринимателями </w:t>
      </w:r>
      <w:r>
        <w:rPr>
          <w:rFonts w:ascii="Times New Roman" w:hAnsi="Times New Roman" w:cs="Times New Roman"/>
          <w:sz w:val="28"/>
          <w:szCs w:val="28"/>
        </w:rPr>
        <w:br/>
        <w:t xml:space="preserve">и об утвержденных в установленном порядке соответствующих видах квот добычи (вылова) водных биологических ресурсов;</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в) осуществлять </w:t>
      </w:r>
      <w:r>
        <w:rPr>
          <w:rFonts w:ascii="Times New Roman" w:hAnsi="Times New Roman" w:cs="Times New Roman"/>
          <w:sz w:val="28"/>
          <w:szCs w:val="28"/>
        </w:rPr>
        <w:t xml:space="preserve">контроль за освоением квот добычи (вылова) водного биологического ресурса, распределенных Пользователю;</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г) осуществлять контроль за соблюдением Пользователем правил рыболовства, иных норм законодательства Российской Федерации и условий настоящего Договора.</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5. Пользователь вправе:</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а) приобретать право собственности на добытые (выловленные) водные биологические ресурсы, рыбную продукцию из них;</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б) осуществлять добычу (вылов) водных биологических ресурсов </w:t>
      </w:r>
      <w:r>
        <w:rPr>
          <w:rFonts w:ascii="Times New Roman" w:hAnsi="Times New Roman" w:cs="Times New Roman"/>
          <w:sz w:val="28"/>
          <w:szCs w:val="28"/>
        </w:rPr>
        <w:br/>
        <w:t xml:space="preserve">на основании ежегодно распределяемой ему квоты добычи </w:t>
      </w:r>
      <w:r>
        <w:rPr>
          <w:rFonts w:ascii="Times New Roman" w:hAnsi="Times New Roman" w:cs="Times New Roman"/>
          <w:sz w:val="28"/>
          <w:szCs w:val="28"/>
        </w:rPr>
        <w:t xml:space="preserve">(вылова) водных биологических ресурсов в соответствии с закрепленной настоящим Договором долей квоты добычи (вылова) водных биологических ресурсов;</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в) получать информацию от Агентства, касающуюся исполнения настоящего Договора.</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6. Пользователь обязан:</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а) о</w:t>
      </w:r>
      <w:r>
        <w:rPr>
          <w:rFonts w:ascii="Times New Roman" w:hAnsi="Times New Roman" w:cs="Times New Roman"/>
          <w:sz w:val="28"/>
          <w:szCs w:val="28"/>
        </w:rPr>
        <w:t xml:space="preserve">существлять добычу (вылов) водных биологических ресурсов </w:t>
      </w:r>
      <w:r>
        <w:rPr>
          <w:rFonts w:ascii="Times New Roman" w:hAnsi="Times New Roman" w:cs="Times New Roman"/>
          <w:sz w:val="28"/>
          <w:szCs w:val="28"/>
        </w:rPr>
        <w:br/>
        <w:t xml:space="preserve">в пределах тех объемов, сроков, районов и в отношении тех видов водных биологических ресурсов, которые указаны в разрешении на добычу (вылов) водных биологических ресурсов, в соответствии с законода</w:t>
      </w:r>
      <w:r>
        <w:rPr>
          <w:rFonts w:ascii="Times New Roman" w:hAnsi="Times New Roman" w:cs="Times New Roman"/>
          <w:sz w:val="28"/>
          <w:szCs w:val="28"/>
        </w:rPr>
        <w:t xml:space="preserve">тельством Российской Федерации;</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б) соблюдать законодательство Российской Федерации в области рыболовства и сохранения водных биологических ресурсов, а также требования Международного </w:t>
      </w:r>
      <w:hyperlink r:id="rId24" w:tooltip="consultantplus://offline/ref=509D761345FBAC814C2DBCBA4884EE2EC8368B141A3BB3449C04641336C865020726F204CC20042E3C1A53597A698CF635A3C12B3168HCJ0G" w:history="1">
        <w:r>
          <w:rPr>
            <w:rFonts w:ascii="Times New Roman" w:hAnsi="Times New Roman" w:cs="Times New Roman"/>
            <w:sz w:val="28"/>
            <w:szCs w:val="28"/>
          </w:rPr>
          <w:t xml:space="preserve">кодекса</w:t>
        </w:r>
      </w:hyperlink>
      <w:r>
        <w:rPr>
          <w:rFonts w:ascii="Times New Roman" w:hAnsi="Times New Roman" w:cs="Times New Roman"/>
          <w:sz w:val="28"/>
          <w:szCs w:val="28"/>
        </w:rPr>
        <w:t xml:space="preserve"> по управлению </w:t>
      </w:r>
      <w:r>
        <w:rPr>
          <w:rFonts w:ascii="Times New Roman" w:hAnsi="Times New Roman" w:cs="Times New Roman"/>
          <w:sz w:val="28"/>
          <w:szCs w:val="28"/>
        </w:rPr>
        <w:t xml:space="preserve">безопасной эксплуатацией судов </w:t>
      </w:r>
      <w:r>
        <w:rPr>
          <w:rFonts w:ascii="Times New Roman" w:hAnsi="Times New Roman" w:cs="Times New Roman"/>
          <w:sz w:val="28"/>
          <w:szCs w:val="28"/>
        </w:rPr>
        <w:br/>
        <w:t xml:space="preserve">и предотвращением загрязнения;</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в) соблюдать условия настоящего Договора;</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г) представлять в установленном порядке отчетность о добыче (вылове) водных биологических ресурсов и производстве рыбной продукции. </w:t>
      </w:r>
      <w:r>
        <w:rPr>
          <w:rFonts w:ascii="Times New Roman" w:hAnsi="Times New Roman" w:cs="Times New Roman"/>
          <w:sz w:val="28"/>
          <w:szCs w:val="28"/>
        </w:rPr>
        <w:b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III. Срок действи</w:t>
      </w:r>
      <w:r>
        <w:rPr>
          <w:rFonts w:ascii="Times New Roman" w:hAnsi="Times New Roman" w:cs="Times New Roman"/>
          <w:b/>
          <w:sz w:val="28"/>
          <w:szCs w:val="28"/>
        </w:rPr>
        <w:t xml:space="preserve">я Договора</w:t>
      </w:r>
      <w:r>
        <w:rPr>
          <w:rFonts w:ascii="Times New Roman" w:hAnsi="Times New Roman" w:cs="Times New Roman"/>
          <w:b/>
          <w:sz w:val="28"/>
          <w:szCs w:val="28"/>
        </w:rPr>
      </w:r>
      <w:r/>
    </w:p>
    <w:p>
      <w:r>
        <w:rPr>
          <w:rFonts w:ascii="Times New Roman" w:hAnsi="Times New Roman" w:cs="Times New Roman"/>
          <w:b/>
          <w:sz w:val="28"/>
          <w:szCs w:val="28"/>
        </w:rPr>
      </w:r>
      <w:r>
        <w:rPr>
          <w:rFonts w:ascii="Times New Roman" w:hAnsi="Times New Roman" w:cs="Times New Roman"/>
          <w:b/>
          <w:sz w:val="28"/>
          <w:szCs w:val="28"/>
        </w:rPr>
      </w:r>
      <w:r/>
    </w:p>
    <w:p>
      <w:pPr>
        <w:outlineLvl w:val="0"/>
      </w:pPr>
      <w:r>
        <w:rPr>
          <w:rFonts w:ascii="Times New Roman" w:hAnsi="Times New Roman" w:cs="Times New Roman"/>
          <w:sz w:val="28"/>
          <w:szCs w:val="28"/>
        </w:rPr>
      </w:r>
      <w:r>
        <w:rPr>
          <w:rFonts w:ascii="Times New Roman" w:hAnsi="Times New Roman" w:cs="Times New Roman"/>
          <w:sz w:val="28"/>
          <w:szCs w:val="28"/>
        </w:rPr>
      </w:r>
      <w:r/>
    </w:p>
    <w:p>
      <w:pPr>
        <w:ind w:firstLine="540"/>
      </w:pPr>
      <w:r>
        <w:rPr>
          <w:rFonts w:ascii="Times New Roman" w:hAnsi="Times New Roman" w:cs="Times New Roman"/>
          <w:sz w:val="28"/>
          <w:szCs w:val="28"/>
        </w:rPr>
        <w:t xml:space="preserve">7. Срок  действия настоящего Договора  с _______ по </w:t>
      </w:r>
      <w:r>
        <w:rPr>
          <w:rFonts w:ascii="Times New Roman" w:hAnsi="Times New Roman" w:cs="Times New Roman"/>
          <w:sz w:val="28"/>
          <w:szCs w:val="28"/>
        </w:rPr>
        <w:t xml:space="preserve">31 декабря 2033 года.</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 Стороны оговорили, что обязательства по настоящему Договору действуют до полного их исполнения Сторонами.</w:t>
      </w:r>
      <w:r>
        <w:rPr>
          <w:rFonts w:ascii="Times New Roman" w:hAnsi="Times New Roman" w:cs="Times New Roman"/>
          <w:sz w:val="28"/>
          <w:szCs w:val="28"/>
        </w:rPr>
      </w:r>
      <w:r/>
    </w:p>
    <w:p>
      <w:r>
        <w:rPr>
          <w:rFonts w:ascii="Times New Roman" w:hAnsi="Times New Roman" w:cs="Times New Roman"/>
          <w:sz w:val="28"/>
          <w:szCs w:val="28"/>
        </w:rP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IV. Порядок прекращения и расторжения Договора</w:t>
      </w:r>
      <w:r>
        <w:rPr>
          <w:rFonts w:ascii="Times New Roman" w:hAnsi="Times New Roman" w:cs="Times New Roman"/>
          <w:b/>
          <w:sz w:val="28"/>
          <w:szCs w:val="28"/>
        </w:rPr>
      </w:r>
      <w:r/>
    </w:p>
    <w:p>
      <w:r>
        <w:rPr>
          <w:rFonts w:ascii="Times New Roman" w:hAnsi="Times New Roman" w:cs="Times New Roman"/>
          <w:b/>
          <w:sz w:val="28"/>
          <w:szCs w:val="28"/>
        </w:rPr>
      </w:r>
      <w:r>
        <w:rPr>
          <w:rFonts w:ascii="Times New Roman" w:hAnsi="Times New Roman" w:cs="Times New Roman"/>
          <w:b/>
          <w:sz w:val="28"/>
          <w:szCs w:val="28"/>
        </w:rPr>
      </w:r>
      <w:r/>
    </w:p>
    <w:p>
      <w:pPr>
        <w:ind w:firstLine="540"/>
      </w:pPr>
      <w:r>
        <w:rPr>
          <w:rFonts w:ascii="Times New Roman" w:hAnsi="Times New Roman" w:cs="Times New Roman"/>
          <w:sz w:val="28"/>
          <w:szCs w:val="28"/>
        </w:rPr>
        <w:t xml:space="preserve">8. Настоящий Договор прек</w:t>
      </w:r>
      <w:r>
        <w:rPr>
          <w:rFonts w:ascii="Times New Roman" w:hAnsi="Times New Roman" w:cs="Times New Roman"/>
          <w:sz w:val="28"/>
          <w:szCs w:val="28"/>
        </w:rPr>
        <w:t xml:space="preserve">ращается:</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а) в связи с истечением срока его действия;</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б) при отказе Пользователя от права на добычу (вылов) водных биологических ресурсов, предоставленного ему настоящим Договором;</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в) в связи с ликвидацией юридического лица, которому было предоставлено пра</w:t>
      </w:r>
      <w:r>
        <w:rPr>
          <w:rFonts w:ascii="Times New Roman" w:hAnsi="Times New Roman" w:cs="Times New Roman"/>
          <w:sz w:val="28"/>
          <w:szCs w:val="28"/>
        </w:rPr>
        <w:t xml:space="preserve">во на добычу (вылов) водных биологических ресурсов, </w:t>
      </w:r>
      <w:r>
        <w:rPr>
          <w:rFonts w:ascii="Times New Roman" w:hAnsi="Times New Roman" w:cs="Times New Roman"/>
          <w:sz w:val="28"/>
          <w:szCs w:val="28"/>
        </w:rPr>
        <w:br/>
        <w:t xml:space="preserve">или со смертью гражданина (индивидуального предпринимателя), которому было предоставлено право на добычу (вылов) водных биологических ресурсов;</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г) в иных случаях, предусмотренных Гражданским </w:t>
      </w:r>
      <w:hyperlink r:id="rId25" w:tooltip="consultantplus://offline/ref=509D761345FBAC814C2DBCBA4884EE2EC3308B1B136FE446CD516A163E982D125B63A709CE221F256B55150C76H6J2G" w:history="1">
        <w:r>
          <w:rPr>
            <w:rFonts w:ascii="Times New Roman" w:hAnsi="Times New Roman" w:cs="Times New Roman"/>
            <w:sz w:val="28"/>
            <w:szCs w:val="28"/>
          </w:rPr>
          <w:t xml:space="preserve">кодексом</w:t>
        </w:r>
      </w:hyperlink>
      <w:r>
        <w:rPr>
          <w:rFonts w:ascii="Times New Roman" w:hAnsi="Times New Roman" w:cs="Times New Roman"/>
          <w:sz w:val="28"/>
          <w:szCs w:val="28"/>
        </w:rPr>
        <w:t xml:space="preserve"> Российской Федерации и другими федеральными законами.</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9. Настоящий Договор может быть расторгнут до истечения срока его действия:</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а) по соглашению Сторон;</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б) по требованию одной из Сторон – в порядке, предусмотренном законодательством Российско</w:t>
      </w:r>
      <w:r>
        <w:rPr>
          <w:rFonts w:ascii="Times New Roman" w:hAnsi="Times New Roman" w:cs="Times New Roman"/>
          <w:sz w:val="28"/>
          <w:szCs w:val="28"/>
        </w:rPr>
        <w:t xml:space="preserve">й Федерации;</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в) по основаниям, предусмотренным </w:t>
      </w:r>
      <w:hyperlink r:id="rId26" w:tooltip="consultantplus://offline/ref=509D761345FBAC814C2DBCBA4884EE2EC3308A11146DE446CD516A163E982D124963FF05CC2205226E40435D333E81EA35BEDF2A2F6BC963H4JBG" w:history="1">
        <w:r>
          <w:rPr>
            <w:rFonts w:ascii="Times New Roman" w:hAnsi="Times New Roman" w:cs="Times New Roman"/>
            <w:sz w:val="28"/>
            <w:szCs w:val="28"/>
          </w:rPr>
          <w:t xml:space="preserve">частью 2 статьи 13</w:t>
        </w:r>
      </w:hyperlink>
      <w:r>
        <w:rPr>
          <w:rFonts w:ascii="Times New Roman" w:hAnsi="Times New Roman" w:cs="Times New Roman"/>
          <w:sz w:val="28"/>
          <w:szCs w:val="28"/>
        </w:rPr>
        <w:t xml:space="preserve"> Федерального закона «О рыболовстве и сохранении водных биологических ресурсов».</w:t>
      </w:r>
      <w:r>
        <w:rPr>
          <w:rFonts w:ascii="Times New Roman" w:hAnsi="Times New Roman" w:cs="Times New Roman"/>
          <w:sz w:val="28"/>
          <w:szCs w:val="28"/>
        </w:rPr>
      </w:r>
      <w:r/>
    </w:p>
    <w:p>
      <w:r>
        <w:rPr>
          <w:rFonts w:ascii="Times New Roman" w:hAnsi="Times New Roman" w:cs="Times New Roman"/>
          <w:sz w:val="28"/>
          <w:szCs w:val="28"/>
        </w:rP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V. Ответственность Сторон</w:t>
      </w:r>
      <w:r>
        <w:rPr>
          <w:rFonts w:ascii="Times New Roman" w:hAnsi="Times New Roman" w:cs="Times New Roman"/>
          <w:b/>
          <w:sz w:val="28"/>
          <w:szCs w:val="28"/>
        </w:rPr>
      </w:r>
      <w:r/>
    </w:p>
    <w:p>
      <w:r>
        <w:rPr>
          <w:rFonts w:ascii="Times New Roman" w:hAnsi="Times New Roman" w:cs="Times New Roman"/>
          <w:sz w:val="28"/>
          <w:szCs w:val="28"/>
        </w:rPr>
      </w:r>
      <w:r>
        <w:rPr>
          <w:rFonts w:ascii="Times New Roman" w:hAnsi="Times New Roman" w:cs="Times New Roman"/>
          <w:sz w:val="28"/>
          <w:szCs w:val="28"/>
        </w:rPr>
      </w:r>
      <w:r/>
    </w:p>
    <w:p>
      <w:pPr>
        <w:ind w:firstLine="540"/>
      </w:pPr>
      <w:r>
        <w:rPr>
          <w:rFonts w:ascii="Times New Roman" w:hAnsi="Times New Roman" w:cs="Times New Roman"/>
          <w:sz w:val="28"/>
          <w:szCs w:val="28"/>
        </w:rPr>
        <w:t xml:space="preserve">10. Стороны несут ответ</w:t>
      </w:r>
      <w:r>
        <w:rPr>
          <w:rFonts w:ascii="Times New Roman" w:hAnsi="Times New Roman" w:cs="Times New Roman"/>
          <w:sz w:val="28"/>
          <w:szCs w:val="28"/>
        </w:rPr>
        <w:t xml:space="preserve">ственность за неисполнение или ненадлежащее исполнение обязательств по настоящему Договору в соответствии </w:t>
      </w:r>
      <w:r>
        <w:rPr>
          <w:rFonts w:ascii="Times New Roman" w:hAnsi="Times New Roman" w:cs="Times New Roman"/>
          <w:sz w:val="28"/>
          <w:szCs w:val="28"/>
        </w:rPr>
        <w:br/>
        <w:t xml:space="preserve">с законодательством Российской Федерации и настоящим Договором.</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11. Сторона, не исполнившая или ненадлежащим образом исполнившая обязательства по настоящему Договору, несет ответственность, </w:t>
      </w:r>
      <w:r>
        <w:rPr>
          <w:rFonts w:ascii="Times New Roman" w:hAnsi="Times New Roman" w:cs="Times New Roman"/>
          <w:sz w:val="28"/>
          <w:szCs w:val="28"/>
        </w:rPr>
        <w:br/>
        <w:t xml:space="preserve">если не докажет, что надлежащее исполнение оказалось невозможным вследствие обстоятельств непреодолимой силы.</w:t>
      </w:r>
      <w:r>
        <w:rPr>
          <w:rFonts w:ascii="Times New Roman" w:hAnsi="Times New Roman" w:cs="Times New Roman"/>
          <w:sz w:val="28"/>
          <w:szCs w:val="28"/>
        </w:rPr>
      </w:r>
      <w:r/>
    </w:p>
    <w:p>
      <w:r>
        <w:rPr>
          <w:rFonts w:ascii="Times New Roman" w:hAnsi="Times New Roman" w:cs="Times New Roman"/>
          <w:sz w:val="28"/>
          <w:szCs w:val="28"/>
        </w:rP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VI. Рассмотрение и</w:t>
      </w:r>
      <w:r>
        <w:rPr>
          <w:rFonts w:ascii="Times New Roman" w:hAnsi="Times New Roman" w:cs="Times New Roman"/>
          <w:b/>
          <w:sz w:val="28"/>
          <w:szCs w:val="28"/>
        </w:rPr>
        <w:t xml:space="preserve"> урегулирование споров</w:t>
      </w:r>
      <w:r>
        <w:rPr>
          <w:rFonts w:ascii="Times New Roman" w:hAnsi="Times New Roman" w:cs="Times New Roman"/>
          <w:b/>
          <w:sz w:val="28"/>
          <w:szCs w:val="28"/>
        </w:rPr>
      </w:r>
      <w:r/>
    </w:p>
    <w:p>
      <w:r>
        <w:rPr>
          <w:rFonts w:ascii="Times New Roman" w:hAnsi="Times New Roman" w:cs="Times New Roman"/>
          <w:sz w:val="28"/>
          <w:szCs w:val="28"/>
        </w:rPr>
      </w:r>
      <w:r>
        <w:rPr>
          <w:rFonts w:ascii="Times New Roman" w:hAnsi="Times New Roman" w:cs="Times New Roman"/>
          <w:sz w:val="28"/>
          <w:szCs w:val="28"/>
        </w:rPr>
      </w:r>
      <w:r/>
    </w:p>
    <w:p>
      <w:pPr>
        <w:ind w:firstLine="540"/>
      </w:pPr>
      <w:r>
        <w:rPr>
          <w:rFonts w:ascii="Times New Roman" w:hAnsi="Times New Roman" w:cs="Times New Roman"/>
          <w:sz w:val="28"/>
          <w:szCs w:val="28"/>
        </w:rPr>
        <w:t xml:space="preserve">12. Все споры и разногласия, которые могут возникнуть в связи </w:t>
      </w:r>
      <w:r>
        <w:rPr>
          <w:rFonts w:ascii="Times New Roman" w:hAnsi="Times New Roman" w:cs="Times New Roman"/>
          <w:sz w:val="28"/>
          <w:szCs w:val="28"/>
        </w:rPr>
        <w:br/>
        <w:t xml:space="preserve">с реализацией настоящего Договора, Стороны будут стремиться решить путем переговоров.</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13. В случае если споры и разногласия не могут быть решены путем переговоров, они п</w:t>
      </w:r>
      <w:r>
        <w:rPr>
          <w:rFonts w:ascii="Times New Roman" w:hAnsi="Times New Roman" w:cs="Times New Roman"/>
          <w:sz w:val="28"/>
          <w:szCs w:val="28"/>
        </w:rPr>
        <w:t xml:space="preserve">одлежат разрешению в судебном порядке в соответствии </w:t>
      </w:r>
      <w:r>
        <w:rPr>
          <w:rFonts w:ascii="Times New Roman" w:hAnsi="Times New Roman" w:cs="Times New Roman"/>
          <w:sz w:val="28"/>
          <w:szCs w:val="28"/>
        </w:rPr>
        <w:br/>
        <w:t xml:space="preserve">с законодательством Российской Федерации.</w:t>
      </w:r>
      <w:r>
        <w:rPr>
          <w:rFonts w:ascii="Times New Roman" w:hAnsi="Times New Roman" w:cs="Times New Roman"/>
          <w:sz w:val="28"/>
          <w:szCs w:val="28"/>
        </w:rPr>
      </w:r>
      <w:r/>
    </w:p>
    <w:p>
      <w:r>
        <w:rPr>
          <w:rFonts w:ascii="Times New Roman" w:hAnsi="Times New Roman" w:cs="Times New Roman"/>
          <w:sz w:val="28"/>
          <w:szCs w:val="28"/>
        </w:rP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VII. Заключительные положения</w:t>
      </w:r>
      <w:r>
        <w:rPr>
          <w:rFonts w:ascii="Times New Roman" w:hAnsi="Times New Roman" w:cs="Times New Roman"/>
          <w:b/>
          <w:sz w:val="28"/>
          <w:szCs w:val="28"/>
        </w:rPr>
      </w:r>
      <w:r/>
    </w:p>
    <w:p>
      <w:r>
        <w:rPr>
          <w:rFonts w:ascii="Times New Roman" w:hAnsi="Times New Roman" w:cs="Times New Roman"/>
          <w:sz w:val="28"/>
          <w:szCs w:val="28"/>
        </w:rPr>
      </w:r>
      <w:r>
        <w:rPr>
          <w:rFonts w:ascii="Times New Roman" w:hAnsi="Times New Roman" w:cs="Times New Roman"/>
          <w:sz w:val="28"/>
          <w:szCs w:val="28"/>
        </w:rPr>
      </w:r>
      <w:r/>
    </w:p>
    <w:p>
      <w:pPr>
        <w:ind w:firstLine="540"/>
      </w:pPr>
      <w:r>
        <w:rPr>
          <w:rFonts w:ascii="Times New Roman" w:hAnsi="Times New Roman" w:cs="Times New Roman"/>
          <w:sz w:val="28"/>
          <w:szCs w:val="28"/>
        </w:rPr>
        <w:t xml:space="preserve">14. Договор составлен в двух экземплярах, имеющих одинаковую юридическую силу, по одному экземпляру для каждой из Сторон.</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15. В </w:t>
      </w:r>
      <w:r>
        <w:rPr>
          <w:rFonts w:ascii="Times New Roman" w:hAnsi="Times New Roman" w:cs="Times New Roman"/>
          <w:sz w:val="28"/>
          <w:szCs w:val="28"/>
        </w:rPr>
        <w:t xml:space="preserve">случае изменения адресов и (или) реквизитов Сторон, та Сторона, </w:t>
      </w:r>
      <w:r>
        <w:rPr>
          <w:rFonts w:ascii="Times New Roman" w:hAnsi="Times New Roman" w:cs="Times New Roman"/>
          <w:sz w:val="28"/>
          <w:szCs w:val="28"/>
        </w:rPr>
        <w:br/>
        <w:t xml:space="preserve">у которой изменились адрес и (или) реквизиты, обязана уведомить другую Сторону о таких изменениях в течение 3 (трех) рабочих дней в письменном виде.</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До получения уведомления все извещения, на</w:t>
      </w:r>
      <w:r>
        <w:rPr>
          <w:rFonts w:ascii="Times New Roman" w:hAnsi="Times New Roman" w:cs="Times New Roman"/>
          <w:sz w:val="28"/>
          <w:szCs w:val="28"/>
        </w:rPr>
        <w:t xml:space="preserve">правленные с указанием предыдущего адреса и (или) реквизитов, считаются действительными.</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16. Если иное не предусмотрено настоящим Договором, уведомления </w:t>
      </w:r>
      <w:r>
        <w:rPr>
          <w:rFonts w:ascii="Times New Roman" w:hAnsi="Times New Roman" w:cs="Times New Roman"/>
          <w:sz w:val="28"/>
          <w:szCs w:val="28"/>
        </w:rPr>
        <w:br/>
        <w:t xml:space="preserve">и иные юридически значимые сообщения Стороны направляют посредством почтовой связи заказным письмом с </w:t>
      </w:r>
      <w:r>
        <w:rPr>
          <w:rFonts w:ascii="Times New Roman" w:hAnsi="Times New Roman" w:cs="Times New Roman"/>
          <w:sz w:val="28"/>
          <w:szCs w:val="28"/>
        </w:rPr>
        <w:t xml:space="preserve">уведомлением о вручении или вручают </w:t>
      </w:r>
      <w:r>
        <w:rPr>
          <w:rFonts w:ascii="Times New Roman" w:hAnsi="Times New Roman" w:cs="Times New Roman"/>
          <w:sz w:val="28"/>
          <w:szCs w:val="28"/>
        </w:rPr>
        <w:br/>
        <w:t xml:space="preserve">под расписку.</w:t>
      </w:r>
      <w:r>
        <w:rPr>
          <w:rFonts w:ascii="Times New Roman" w:hAnsi="Times New Roman" w:cs="Times New Roman"/>
          <w:sz w:val="28"/>
          <w:szCs w:val="28"/>
        </w:rPr>
      </w:r>
      <w:r/>
    </w:p>
    <w:p>
      <w:r>
        <w:rPr>
          <w:rFonts w:ascii="Times New Roman" w:hAnsi="Times New Roman" w:cs="Times New Roman"/>
          <w:sz w:val="28"/>
          <w:szCs w:val="28"/>
        </w:rP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VIII. Адреса и реквизиты Сторон</w:t>
      </w:r>
      <w:r>
        <w:rPr>
          <w:rFonts w:ascii="Times New Roman" w:hAnsi="Times New Roman" w:cs="Times New Roman"/>
          <w:b/>
          <w:sz w:val="28"/>
          <w:szCs w:val="28"/>
        </w:rPr>
      </w:r>
      <w:r/>
    </w:p>
    <w:p>
      <w:r>
        <w:rPr>
          <w:rFonts w:ascii="Times New Roman" w:hAnsi="Times New Roman" w:cs="Times New Roman"/>
          <w:b/>
          <w:sz w:val="28"/>
          <w:szCs w:val="28"/>
        </w:rPr>
      </w:r>
      <w:r>
        <w:rPr>
          <w:rFonts w:ascii="Times New Roman" w:hAnsi="Times New Roman" w:cs="Times New Roman"/>
          <w:b/>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Агентство                                                                     </w:t>
      </w:r>
      <w:r>
        <w:rPr>
          <w:rFonts w:ascii="Times New Roman" w:hAnsi="Times New Roman" w:eastAsia="Times New Roman" w:cs="Times New Roman"/>
          <w:color w:val="000000"/>
          <w:sz w:val="28"/>
          <w:szCs w:val="28"/>
          <w:u w:val="single"/>
        </w:rPr>
        <w:t xml:space="preserve">Пользователь</w:t>
      </w:r>
      <w:r>
        <w:rPr>
          <w:rFonts w:ascii="Times New Roman" w:hAnsi="Times New Roman" w:eastAsia="Times New Roman" w:cs="Times New Roman"/>
          <w:color w:val="000000"/>
          <w:sz w:val="28"/>
          <w:szCs w:val="28"/>
          <w:u w:val="single"/>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rPr>
        <w:t xml:space="preserve">(наименование)</w:t>
      </w:r>
      <w:r>
        <w:rPr>
          <w:rFonts w:ascii="Times New Roman" w:hAnsi="Times New Roman" w:eastAsia="Times New Roman" w:cs="Times New Roman"/>
          <w:color w:val="000000"/>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Адрес места нахождения:                                       Адрес места нахождения:</w:t>
      </w:r>
      <w:r>
        <w:rPr>
          <w:rFonts w:ascii="Times New Roman" w:hAnsi="Times New Roman" w:eastAsia="Times New Roman" w:cs="Times New Roman"/>
          <w:color w:val="000000"/>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Рождественский б-р,                                           ______________________</w:t>
      </w:r>
      <w:r>
        <w:rPr>
          <w:rFonts w:ascii="Times New Roman" w:hAnsi="Times New Roman" w:eastAsia="Times New Roman" w:cs="Times New Roman"/>
          <w:color w:val="000000"/>
          <w:sz w:val="28"/>
          <w:szCs w:val="28"/>
        </w:rPr>
      </w:r>
      <w:r/>
    </w:p>
    <w:p>
      <w:pPr>
        <w:jc w:val="lef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д. 12/8, стр. 1, Москва, 107996                               </w:t>
      </w:r>
      <w:r>
        <w:rPr>
          <w:rFonts w:ascii="Times New Roman" w:hAnsi="Times New Roman" w:eastAsia="Times New Roman" w:cs="Times New Roman"/>
          <w:color w:val="000000"/>
          <w:sz w:val="28"/>
          <w:szCs w:val="28"/>
        </w:rPr>
        <w:t xml:space="preserve">                         ______________________                                                  </w:t>
      </w:r>
      <w:r>
        <w:rPr>
          <w:rFonts w:ascii="Times New Roman" w:hAnsi="Times New Roman" w:eastAsia="Times New Roman" w:cs="Times New Roman"/>
          <w:color w:val="000000"/>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тел. (495) 623 23-20</w:t>
      </w:r>
      <w:r>
        <w:rPr>
          <w:rFonts w:ascii="Times New Roman" w:hAnsi="Times New Roman" w:eastAsia="Times New Roman" w:cs="Times New Roman"/>
          <w:b/>
          <w:color w:val="000000"/>
          <w:sz w:val="28"/>
          <w:szCs w:val="28"/>
        </w:rPr>
        <w:t xml:space="preserve">                                                 </w:t>
      </w:r>
      <w:r>
        <w:rPr>
          <w:rFonts w:ascii="Times New Roman" w:hAnsi="Times New Roman" w:eastAsia="Times New Roman" w:cs="Times New Roman"/>
          <w:color w:val="000000"/>
          <w:sz w:val="28"/>
          <w:szCs w:val="28"/>
        </w:rPr>
        <w:t xml:space="preserve">ИНН</w:t>
      </w:r>
      <w:r>
        <w:rPr>
          <w:rFonts w:ascii="Times New Roman" w:hAnsi="Times New Roman" w:eastAsia="Times New Roman" w:cs="Times New Roman"/>
          <w:b/>
          <w:color w:val="000000"/>
          <w:sz w:val="28"/>
          <w:szCs w:val="28"/>
        </w:rPr>
        <w:t xml:space="preserve"> __________________</w:t>
      </w:r>
      <w:r>
        <w:rPr>
          <w:rFonts w:ascii="Times New Roman" w:hAnsi="Times New Roman" w:eastAsia="Times New Roman" w:cs="Times New Roman"/>
          <w:b/>
          <w:color w:val="000000"/>
          <w:sz w:val="28"/>
          <w:szCs w:val="28"/>
        </w:rPr>
      </w:r>
      <w:r/>
    </w:p>
    <w:p>
      <w:pPr>
        <w:jc w:val="lef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ИНН</w:t>
      </w:r>
      <w:r>
        <w:rPr>
          <w:rFonts w:ascii="Times New Roman" w:hAnsi="Times New Roman" w:eastAsia="Times New Roman" w:cs="Times New Roman"/>
          <w:b/>
          <w:color w:val="000000"/>
          <w:sz w:val="28"/>
          <w:szCs w:val="28"/>
        </w:rPr>
        <w:t xml:space="preserve"> ___________                                                   </w:t>
      </w:r>
      <w:r>
        <w:rPr>
          <w:rFonts w:ascii="Times New Roman" w:hAnsi="Times New Roman" w:eastAsia="Times New Roman" w:cs="Times New Roman"/>
          <w:color w:val="000000"/>
          <w:sz w:val="28"/>
          <w:szCs w:val="28"/>
        </w:rPr>
        <w:t xml:space="preserve">Банковские реквизиты</w:t>
      </w:r>
      <w:r>
        <w:rPr>
          <w:rFonts w:ascii="Times New Roman" w:hAnsi="Times New Roman" w:eastAsia="Times New Roman" w:cs="Times New Roman"/>
          <w:color w:val="000000"/>
          <w:sz w:val="28"/>
          <w:szCs w:val="28"/>
        </w:rPr>
      </w:r>
      <w:r/>
    </w:p>
    <w:p>
      <w:pPr>
        <w:jc w:val="lef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Банковские реквизиты</w:t>
      </w:r>
      <w:r>
        <w:rPr>
          <w:rFonts w:ascii="Times New Roman" w:hAnsi="Times New Roman" w:eastAsia="Times New Roman" w:cs="Times New Roman"/>
          <w:b/>
          <w:color w:val="000000"/>
          <w:sz w:val="28"/>
          <w:szCs w:val="28"/>
        </w:rPr>
        <w:t xml:space="preserve">                                             _______________________                                                                    _______________________                                      __________________</w:t>
      </w:r>
      <w:r>
        <w:rPr>
          <w:rFonts w:ascii="Times New Roman" w:hAnsi="Times New Roman" w:eastAsia="Times New Roman" w:cs="Times New Roman"/>
          <w:b/>
          <w:color w:val="000000"/>
          <w:sz w:val="28"/>
          <w:szCs w:val="28"/>
        </w:rPr>
        <w:t xml:space="preserve">_____</w:t>
      </w:r>
      <w:r>
        <w:rPr>
          <w:rFonts w:ascii="Times New Roman" w:hAnsi="Times New Roman" w:eastAsia="Times New Roman" w:cs="Times New Roman"/>
          <w:b/>
          <w:color w:val="000000"/>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rPr>
        <w:t xml:space="preserve">Должность лица, уполномоченного            </w:t>
      </w:r>
      <w:r>
        <w:rPr>
          <w:color w:val="000000"/>
        </w:rPr>
        <w:t xml:space="preserve">                                </w:t>
      </w:r>
      <w:r>
        <w:rPr>
          <w:rFonts w:ascii="Times New Roman" w:hAnsi="Times New Roman" w:eastAsia="Times New Roman" w:cs="Times New Roman"/>
          <w:color w:val="000000"/>
        </w:rPr>
        <w:t xml:space="preserve">       Должность лица, уполномоченного</w:t>
      </w:r>
      <w:r>
        <w:rPr>
          <w:rFonts w:ascii="Times New Roman" w:hAnsi="Times New Roman" w:eastAsia="Times New Roman" w:cs="Times New Roman"/>
          <w:color w:val="000000"/>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rPr>
        <w:t xml:space="preserve">на подписание настоящего договора           </w:t>
      </w:r>
      <w:r>
        <w:rPr>
          <w:color w:val="000000"/>
        </w:rPr>
        <w:t xml:space="preserve">                                     </w:t>
      </w:r>
      <w:r>
        <w:rPr>
          <w:rFonts w:ascii="Times New Roman" w:hAnsi="Times New Roman" w:eastAsia="Times New Roman" w:cs="Times New Roman"/>
          <w:color w:val="000000"/>
        </w:rPr>
        <w:t xml:space="preserve"> на подписание настоящего договора</w:t>
      </w:r>
      <w:r>
        <w:rPr>
          <w:rFonts w:ascii="Times New Roman" w:hAnsi="Times New Roman" w:eastAsia="Times New Roman" w:cs="Times New Roman"/>
          <w:color w:val="000000"/>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____________________</w:t>
      </w:r>
      <w:r>
        <w:rPr>
          <w:rFonts w:ascii="Times New Roman" w:hAnsi="Times New Roman" w:eastAsia="Times New Roman" w:cs="Times New Roman"/>
          <w:color w:val="000000"/>
          <w:sz w:val="28"/>
          <w:szCs w:val="28"/>
        </w:rPr>
        <w:t xml:space="preserve">_________           </w:t>
      </w:r>
      <w:r>
        <w:rPr>
          <w:color w:val="000000"/>
          <w:sz w:val="28"/>
          <w:szCs w:val="28"/>
        </w:rPr>
        <w:t xml:space="preserve">               </w:t>
      </w:r>
      <w:r>
        <w:rPr>
          <w:rFonts w:ascii="Times New Roman" w:hAnsi="Times New Roman" w:eastAsia="Times New Roman" w:cs="Times New Roman"/>
          <w:color w:val="000000"/>
          <w:sz w:val="28"/>
          <w:szCs w:val="28"/>
        </w:rPr>
        <w:t xml:space="preserve">_________________</w:t>
      </w:r>
      <w:r>
        <w:rPr>
          <w:color w:val="000000"/>
          <w:sz w:val="28"/>
          <w:szCs w:val="28"/>
        </w:rPr>
        <w:t xml:space="preserve">_______</w:t>
      </w:r>
      <w:r>
        <w:rPr>
          <w:rFonts w:ascii="Times New Roman" w:hAnsi="Times New Roman" w:eastAsia="Times New Roman" w:cs="Times New Roman"/>
          <w:color w:val="000000"/>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color w:val="000000"/>
          <w:sz w:val="28"/>
          <w:szCs w:val="28"/>
        </w:rPr>
        <w:t xml:space="preserve">   </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rPr>
        <w:t xml:space="preserve">(подпись)        (ФИО)                                                 </w:t>
      </w:r>
      <w:r>
        <w:rPr>
          <w:color w:val="000000"/>
        </w:rPr>
        <w:t xml:space="preserve">                        </w:t>
      </w:r>
      <w:r>
        <w:rPr>
          <w:rFonts w:ascii="Times New Roman" w:hAnsi="Times New Roman" w:eastAsia="Times New Roman" w:cs="Times New Roman"/>
          <w:color w:val="000000"/>
        </w:rPr>
        <w:t xml:space="preserve">(подпись)       (ФИО)</w:t>
      </w:r>
      <w:r>
        <w:rPr>
          <w:color w:val="000000"/>
        </w:rPr>
      </w:r>
      <w:r/>
    </w:p>
    <w:p>
      <w:pPr>
        <w:jc w:val="right"/>
      </w:pPr>
      <w:r>
        <w:rPr>
          <w:rFonts w:ascii="Times New Roman" w:hAnsi="Times New Roman" w:eastAsia="Times New Roman" w:cs="Times New Roman"/>
          <w:sz w:val="28"/>
          <w:szCs w:val="28"/>
        </w:rPr>
        <w:t xml:space="preserve">          </w:t>
      </w:r>
      <w:r>
        <w:rPr>
          <w:rFonts w:ascii="Times New Roman" w:hAnsi="Times New Roman" w:eastAsia="Times New Roman" w:cs="Times New Roman"/>
        </w:rPr>
        <w:t xml:space="preserve">М.П.                                                         </w:t>
      </w:r>
      <w:r>
        <w:rPr>
          <w:rFonts w:ascii="Times New Roman" w:hAnsi="Times New Roman" w:eastAsia="Times New Roman" w:cs="Times New Roman"/>
        </w:rPr>
        <w:t xml:space="preserve">                                  М.П. (при наличии)</w:t>
      </w:r>
      <w:r>
        <w:rPr>
          <w:rFonts w:ascii="Times New Roman" w:hAnsi="Times New Roman" w:eastAsia="Times New Roman" w:cs="Times New Roman"/>
          <w:sz w:val="28"/>
          <w:szCs w:val="28"/>
        </w:rPr>
        <w:t xml:space="preserve">         </w:t>
      </w:r>
      <w:r>
        <w:rPr>
          <w:rFonts w:ascii="Times New Roman" w:hAnsi="Times New Roman" w:eastAsia="Times New Roman" w:cs="Times New Roman"/>
        </w:rPr>
        <w:t xml:space="preserve"> </w:t>
      </w:r>
      <w:r>
        <w:rPr>
          <w:rFonts w:ascii="Times New Roman" w:hAnsi="Times New Roman" w:cs="Times New Roman"/>
          <w:sz w:val="28"/>
          <w:szCs w:val="28"/>
        </w:rPr>
      </w:r>
      <w:r/>
    </w:p>
    <w:sectPr>
      <w:footnotePr>
        <w:numRestart w:val="eachSect"/>
      </w:footnotePr>
      <w:endnotePr/>
      <w:type w:val="nextPage"/>
      <w:pgSz w:w="11906" w:h="16838" w:orient="portrait"/>
      <w:pgMar w:top="851" w:right="851" w:bottom="680" w:left="1418" w:header="709" w:footer="709" w:gutter="0"/>
      <w:cols w:num="1" w:sep="0" w:space="708" w:equalWidth="1"/>
      <w:docGrid w:linePitch="36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endnote w:type="separator" w:id="-1">
    <w:p>
      <w:r>
        <w:separator/>
      </w:r>
      <w:r/>
    </w:p>
  </w:endnote>
  <w:endnote w:type="continuationSeparator" w:id="0">
    <w:p>
      <w:r>
        <w:continuationSeparator/>
      </w: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10000000000000000"/>
  </w:font>
  <w:font w:name="Symbol">
    <w:panose1 w:val="05010000000000000000"/>
  </w:font>
  <w:font w:name="Consolas">
    <w:panose1 w:val="020B0606020202030204"/>
  </w:font>
  <w:font w:name="Segoe UI">
    <w:panose1 w:val="020B0502040504020204"/>
  </w:font>
  <w:font w:name="Tahoma">
    <w:panose1 w:val="020B0604030504040204"/>
  </w:font>
  <w:font w:name="Courier New">
    <w:panose1 w:val="02070309020205020404"/>
  </w:font>
  <w:font w:name="Times New Roman">
    <w:panose1 w:val="02020603050405020304"/>
  </w:font>
  <w:font w:name="MS Sans Serif">
    <w:panose1 w:val="02000603000000000000"/>
  </w:font>
  <w:font w:name="Courier Cyr">
    <w:panose1 w:val="02000603000000000000"/>
  </w:font>
  <w:font w:name="Times New Roman CYR">
    <w:panose1 w:val="02020603050405020304"/>
  </w:font>
  <w:font w:name="Arial">
    <w:panose1 w:val="020B0604020202020204"/>
  </w:font>
  <w:font w:name="Calibri">
    <w:panose1 w:val="020F0502020204030204"/>
  </w:font>
  <w:font w:name="Cambria">
    <w:panose1 w:val="02040503050406030204"/>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footnote w:type="separator" w:id="-1">
    <w:p>
      <w:r>
        <w:separator/>
      </w:r>
      <w:r/>
    </w:p>
  </w:footnote>
  <w:footnote w:type="continuationSeparator" w:id="0">
    <w:p>
      <w:r>
        <w:continuationSeparator/>
      </w:r>
      <w:r/>
    </w:p>
  </w:footnote>
  <w:footnote w:id="2">
    <w:p>
      <w:pPr>
        <w:pStyle w:val="986"/>
        <w:rPr>
          <w:rFonts w:ascii="Times New Roman" w:hAnsi="Times New Roman" w:eastAsia="Times New Roman" w:cs="Times New Roman"/>
        </w:rPr>
      </w:pPr>
      <w:r>
        <w:rPr>
          <w:rStyle w:val="988"/>
        </w:rPr>
        <w:footnoteRef/>
      </w:r>
      <w:r>
        <w:t xml:space="preserve"> </w:t>
      </w:r>
      <w:r>
        <w:rPr>
          <w:rFonts w:ascii="Times New Roman" w:hAnsi="Times New Roman" w:eastAsia="Times New Roman" w:cs="Times New Roman"/>
          <w:color w:val="000000"/>
        </w:rPr>
        <w:t xml:space="preserve">Л</w:t>
      </w:r>
      <w:r>
        <w:rPr>
          <w:rFonts w:ascii="Times New Roman" w:hAnsi="Times New Roman" w:eastAsia="Times New Roman" w:cs="Times New Roman"/>
          <w:color w:val="000000"/>
        </w:rPr>
        <w:t xml:space="preserve">ицо, прямо или косвенно находящееся под контролем инвестора или гражданина Российской Федерации, имеющего иное гражданство, </w:t>
      </w:r>
      <w:r>
        <w:rPr>
          <w:rFonts w:ascii="Times New Roman" w:hAnsi="Times New Roman" w:eastAsia="Times New Roman" w:cs="Times New Roman"/>
          <w:color w:val="000000"/>
        </w:rPr>
        <w:t xml:space="preserve">должно </w:t>
      </w:r>
      <w:r>
        <w:rPr>
          <w:rFonts w:ascii="Times New Roman" w:hAnsi="Times New Roman" w:eastAsia="Times New Roman" w:cs="Times New Roman"/>
        </w:rPr>
        <w:t xml:space="preserve">пройти процедуру предварительного согласования в соответствии с Федеральным законом от 29 апреля 2008 г. № 57-ФЗ.</w:t>
      </w:r>
      <w:r/>
    </w:p>
    <w:p>
      <w:pPr>
        <w:pStyle w:val="986"/>
        <w:rPr>
          <w:rFonts w:ascii="Times New Roman" w:hAnsi="Times New Roman" w:eastAsia="Times New Roman" w:cs="Times New Roman"/>
        </w:rPr>
      </w:pPr>
      <w:r>
        <w:rPr>
          <w:rFonts w:ascii="Times New Roman" w:hAnsi="Times New Roman" w:eastAsia="Times New Roman" w:cs="Times New Roman"/>
        </w:rPr>
      </w:r>
      <w:r/>
    </w:p>
    <w:p>
      <w:pPr>
        <w:pStyle w:val="986"/>
      </w:pPr>
      <w: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977"/>
      <w:jc w:val="center"/>
    </w:pPr>
    <w:fldSimple w:instr="PAGE \* MERGEFORMAT">
      <w:r>
        <w:t xml:space="preserve">1</w:t>
      </w:r>
    </w:fldSimple>
    <w:r/>
    <w:r/>
  </w:p>
  <w:p>
    <w:pPr>
      <w:pStyle w:val="977"/>
    </w:pPr>
    <w:r/>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977"/>
    </w:pPr>
    <w:r/>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sdt>
    <w:sdtPr>
      <w15:appearance w15:val="boundingBox"/>
      <w:id w:val="15827330"/>
      <w:docPartObj>
        <w:docPartGallery w:val="Page Numbers (Top of Page)"/>
        <w:docPartUnique w:val="true"/>
      </w:docPartObj>
      <w:rPr/>
    </w:sdtPr>
    <w:sdtContent>
      <w:p>
        <w:pPr>
          <w:pStyle w:val="977"/>
          <w:jc w:val="center"/>
        </w:pPr>
        <w:r>
          <w:fldChar w:fldCharType="begin"/>
        </w:r>
        <w:r>
          <w:instrText xml:space="preserve"> PAGE   \* MERGEFORMAT </w:instrText>
        </w:r>
        <w:r>
          <w:fldChar w:fldCharType="separate"/>
        </w:r>
        <w:r>
          <w:t xml:space="preserve">10</w:t>
        </w:r>
        <w:r>
          <w:fldChar w:fldCharType="end"/>
        </w:r>
        <w:r/>
      </w:p>
    </w:sdtContent>
  </w:sdt>
  <w:p>
    <w:pPr>
      <w:pStyle w:val="977"/>
    </w:pPr>
    <w:r/>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720" w:hanging="720"/>
      </w:pPr>
      <w:rPr>
        <w:rFonts w:hint="default"/>
      </w:rPr>
    </w:lvl>
    <w:lvl w:ilvl="2">
      <w:start w:val="1"/>
      <w:numFmt w:val="decimal"/>
      <w:isLgl w:val="false"/>
      <w:suff w:val="tab"/>
      <w:lvlText w:val="%1.%2.%3."/>
      <w:lvlJc w:val="left"/>
      <w:pPr>
        <w:ind w:left="720" w:hanging="720"/>
      </w:pPr>
      <w:rPr>
        <w:rFonts w:hint="default"/>
      </w:rPr>
    </w:lvl>
    <w:lvl w:ilvl="3">
      <w:start w:val="1"/>
      <w:numFmt w:val="decimal"/>
      <w:isLgl w:val="false"/>
      <w:suff w:val="tab"/>
      <w:lvlText w:val="%1.%2.%3.%4."/>
      <w:lvlJc w:val="left"/>
      <w:pPr>
        <w:ind w:left="1080" w:hanging="1080"/>
      </w:pPr>
      <w:rPr>
        <w:rFonts w:hint="default"/>
      </w:rPr>
    </w:lvl>
    <w:lvl w:ilvl="4">
      <w:start w:val="1"/>
      <w:numFmt w:val="decimal"/>
      <w:isLgl w:val="false"/>
      <w:suff w:val="tab"/>
      <w:lvlText w:val="%1.%2.%3.%4.%5."/>
      <w:lvlJc w:val="left"/>
      <w:pPr>
        <w:ind w:left="1080" w:hanging="1080"/>
      </w:pPr>
      <w:rPr>
        <w:rFonts w:hint="default"/>
      </w:rPr>
    </w:lvl>
    <w:lvl w:ilvl="5">
      <w:start w:val="1"/>
      <w:numFmt w:val="decimal"/>
      <w:isLgl w:val="false"/>
      <w:suff w:val="tab"/>
      <w:lvlText w:val="%1.%2.%3.%4.%5.%6."/>
      <w:lvlJc w:val="left"/>
      <w:pPr>
        <w:ind w:left="1440" w:hanging="1440"/>
      </w:pPr>
      <w:rPr>
        <w:rFonts w:hint="default"/>
      </w:rPr>
    </w:lvl>
    <w:lvl w:ilvl="6">
      <w:start w:val="1"/>
      <w:numFmt w:val="decimal"/>
      <w:isLgl w:val="false"/>
      <w:suff w:val="tab"/>
      <w:lvlText w:val="%1.%2.%3.%4.%5.%6.%7."/>
      <w:lvlJc w:val="left"/>
      <w:pPr>
        <w:ind w:left="1800" w:hanging="1800"/>
      </w:pPr>
      <w:rPr>
        <w:rFonts w:hint="default"/>
      </w:rPr>
    </w:lvl>
    <w:lvl w:ilvl="7">
      <w:start w:val="1"/>
      <w:numFmt w:val="decimal"/>
      <w:isLgl w:val="false"/>
      <w:suff w:val="tab"/>
      <w:lvlText w:val="%1.%2.%3.%4.%5.%6.%7.%8."/>
      <w:lvlJc w:val="left"/>
      <w:pPr>
        <w:ind w:left="1800" w:hanging="1800"/>
      </w:pPr>
      <w:rPr>
        <w:rFonts w:hint="default"/>
      </w:rPr>
    </w:lvl>
    <w:lvl w:ilvl="8">
      <w:start w:val="1"/>
      <w:numFmt w:val="decimal"/>
      <w:isLgl w:val="false"/>
      <w:suff w:val="tab"/>
      <w:lvlText w:val="%1.%2.%3.%4.%5.%6.%7.%8.%9."/>
      <w:lvlJc w:val="left"/>
      <w:pPr>
        <w:ind w:left="2160" w:hanging="2160"/>
      </w:pPr>
      <w:rPr>
        <w:rFonts w:hint="default"/>
      </w:rPr>
    </w:lvl>
  </w:abstractNum>
  <w:abstractNum w:abstractNumId="1">
    <w:multiLevelType w:val="hybridMultilevel"/>
    <w:lvl w:ilvl="0">
      <w:start w:val="1"/>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2">
    <w:multiLevelType w:val="hybridMultilevel"/>
    <w:lvl w:ilvl="0">
      <w:start w:val="1"/>
      <w:numFmt w:val="upperRoman"/>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8"/>
        <w:szCs w:val="28"/>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3">
    <w:multiLevelType w:val="hybridMultilevel"/>
    <w:lvl w:ilvl="0">
      <w:start w:val="1"/>
      <w:numFmt w:val="bullet"/>
      <w:isLgl w:val="false"/>
      <w:suff w:val="tab"/>
      <w:lvlText w:val=""/>
      <w:lvlJc w:val="left"/>
      <w:pPr>
        <w:ind w:left="1004" w:hanging="360"/>
      </w:pPr>
      <w:rPr>
        <w:rFonts w:hint="default" w:ascii="Symbol" w:hAnsi="Symbol"/>
      </w:rPr>
    </w:lvl>
    <w:lvl w:ilvl="1">
      <w:start w:val="1"/>
      <w:numFmt w:val="bullet"/>
      <w:isLgl w:val="false"/>
      <w:suff w:val="tab"/>
      <w:lvlText w:val="o"/>
      <w:lvlJc w:val="left"/>
      <w:pPr>
        <w:ind w:left="1724" w:hanging="360"/>
      </w:pPr>
      <w:rPr>
        <w:rFonts w:hint="default" w:ascii="Courier New" w:hAnsi="Courier New" w:cs="Courier New"/>
      </w:rPr>
    </w:lvl>
    <w:lvl w:ilvl="2">
      <w:start w:val="1"/>
      <w:numFmt w:val="bullet"/>
      <w:isLgl w:val="false"/>
      <w:suff w:val="tab"/>
      <w:lvlText w:val=""/>
      <w:lvlJc w:val="left"/>
      <w:pPr>
        <w:ind w:left="2444" w:hanging="360"/>
      </w:pPr>
      <w:rPr>
        <w:rFonts w:hint="default" w:ascii="Wingdings" w:hAnsi="Wingdings"/>
      </w:rPr>
    </w:lvl>
    <w:lvl w:ilvl="3">
      <w:start w:val="1"/>
      <w:numFmt w:val="bullet"/>
      <w:isLgl w:val="false"/>
      <w:suff w:val="tab"/>
      <w:lvlText w:val=""/>
      <w:lvlJc w:val="left"/>
      <w:pPr>
        <w:ind w:left="3164" w:hanging="360"/>
      </w:pPr>
      <w:rPr>
        <w:rFonts w:hint="default" w:ascii="Symbol" w:hAnsi="Symbol"/>
      </w:rPr>
    </w:lvl>
    <w:lvl w:ilvl="4">
      <w:start w:val="1"/>
      <w:numFmt w:val="bullet"/>
      <w:isLgl w:val="false"/>
      <w:suff w:val="tab"/>
      <w:lvlText w:val="o"/>
      <w:lvlJc w:val="left"/>
      <w:pPr>
        <w:ind w:left="3884" w:hanging="360"/>
      </w:pPr>
      <w:rPr>
        <w:rFonts w:hint="default" w:ascii="Courier New" w:hAnsi="Courier New" w:cs="Courier New"/>
      </w:rPr>
    </w:lvl>
    <w:lvl w:ilvl="5">
      <w:start w:val="1"/>
      <w:numFmt w:val="bullet"/>
      <w:isLgl w:val="false"/>
      <w:suff w:val="tab"/>
      <w:lvlText w:val=""/>
      <w:lvlJc w:val="left"/>
      <w:pPr>
        <w:ind w:left="4604" w:hanging="360"/>
      </w:pPr>
      <w:rPr>
        <w:rFonts w:hint="default" w:ascii="Wingdings" w:hAnsi="Wingdings"/>
      </w:rPr>
    </w:lvl>
    <w:lvl w:ilvl="6">
      <w:start w:val="1"/>
      <w:numFmt w:val="bullet"/>
      <w:isLgl w:val="false"/>
      <w:suff w:val="tab"/>
      <w:lvlText w:val=""/>
      <w:lvlJc w:val="left"/>
      <w:pPr>
        <w:ind w:left="5324" w:hanging="360"/>
      </w:pPr>
      <w:rPr>
        <w:rFonts w:hint="default" w:ascii="Symbol" w:hAnsi="Symbol"/>
      </w:rPr>
    </w:lvl>
    <w:lvl w:ilvl="7">
      <w:start w:val="1"/>
      <w:numFmt w:val="bullet"/>
      <w:isLgl w:val="false"/>
      <w:suff w:val="tab"/>
      <w:lvlText w:val="o"/>
      <w:lvlJc w:val="left"/>
      <w:pPr>
        <w:ind w:left="6044" w:hanging="360"/>
      </w:pPr>
      <w:rPr>
        <w:rFonts w:hint="default" w:ascii="Courier New" w:hAnsi="Courier New" w:cs="Courier New"/>
      </w:rPr>
    </w:lvl>
    <w:lvl w:ilvl="8">
      <w:start w:val="1"/>
      <w:numFmt w:val="bullet"/>
      <w:isLgl w:val="false"/>
      <w:suff w:val="tab"/>
      <w:lvlText w:val=""/>
      <w:lvlJc w:val="left"/>
      <w:pPr>
        <w:ind w:left="6764" w:hanging="360"/>
      </w:pPr>
      <w:rPr>
        <w:rFonts w:hint="default" w:ascii="Wingdings" w:hAnsi="Wingdings"/>
      </w:rPr>
    </w:lvl>
  </w:abstractNum>
  <w:abstractNum w:abstractNumId="4">
    <w:multiLevelType w:val="hybridMultilevel"/>
    <w:lvl w:ilvl="0">
      <w:start w:val="20"/>
      <w:numFmt w:val="bullet"/>
      <w:isLgl w:val="false"/>
      <w:suff w:val="tab"/>
      <w:lvlText w:val=""/>
      <w:lvlJc w:val="left"/>
      <w:pPr>
        <w:ind w:left="644" w:hanging="360"/>
      </w:pPr>
      <w:rPr>
        <w:rFonts w:hint="default" w:ascii="Symbol" w:hAnsi="Symbol" w:eastAsia="Times New Roman" w:cs="Times New Roman"/>
      </w:rPr>
    </w:lvl>
    <w:lvl w:ilvl="1">
      <w:start w:val="1"/>
      <w:numFmt w:val="bullet"/>
      <w:isLgl w:val="false"/>
      <w:suff w:val="tab"/>
      <w:lvlText w:val="o"/>
      <w:lvlJc w:val="left"/>
      <w:pPr>
        <w:ind w:left="1364" w:hanging="360"/>
      </w:pPr>
      <w:rPr>
        <w:rFonts w:hint="default" w:ascii="Courier New" w:hAnsi="Courier New" w:cs="Courier New"/>
      </w:rPr>
    </w:lvl>
    <w:lvl w:ilvl="2">
      <w:start w:val="1"/>
      <w:numFmt w:val="bullet"/>
      <w:isLgl w:val="false"/>
      <w:suff w:val="tab"/>
      <w:lvlText w:val=""/>
      <w:lvlJc w:val="left"/>
      <w:pPr>
        <w:ind w:left="2084" w:hanging="360"/>
      </w:pPr>
      <w:rPr>
        <w:rFonts w:hint="default" w:ascii="Wingdings" w:hAnsi="Wingdings"/>
      </w:rPr>
    </w:lvl>
    <w:lvl w:ilvl="3">
      <w:start w:val="1"/>
      <w:numFmt w:val="bullet"/>
      <w:isLgl w:val="false"/>
      <w:suff w:val="tab"/>
      <w:lvlText w:val=""/>
      <w:lvlJc w:val="left"/>
      <w:pPr>
        <w:ind w:left="2804" w:hanging="360"/>
      </w:pPr>
      <w:rPr>
        <w:rFonts w:hint="default" w:ascii="Symbol" w:hAnsi="Symbol"/>
      </w:rPr>
    </w:lvl>
    <w:lvl w:ilvl="4">
      <w:start w:val="1"/>
      <w:numFmt w:val="bullet"/>
      <w:isLgl w:val="false"/>
      <w:suff w:val="tab"/>
      <w:lvlText w:val="o"/>
      <w:lvlJc w:val="left"/>
      <w:pPr>
        <w:ind w:left="3524" w:hanging="360"/>
      </w:pPr>
      <w:rPr>
        <w:rFonts w:hint="default" w:ascii="Courier New" w:hAnsi="Courier New" w:cs="Courier New"/>
      </w:rPr>
    </w:lvl>
    <w:lvl w:ilvl="5">
      <w:start w:val="1"/>
      <w:numFmt w:val="bullet"/>
      <w:isLgl w:val="false"/>
      <w:suff w:val="tab"/>
      <w:lvlText w:val=""/>
      <w:lvlJc w:val="left"/>
      <w:pPr>
        <w:ind w:left="4244" w:hanging="360"/>
      </w:pPr>
      <w:rPr>
        <w:rFonts w:hint="default" w:ascii="Wingdings" w:hAnsi="Wingdings"/>
      </w:rPr>
    </w:lvl>
    <w:lvl w:ilvl="6">
      <w:start w:val="1"/>
      <w:numFmt w:val="bullet"/>
      <w:isLgl w:val="false"/>
      <w:suff w:val="tab"/>
      <w:lvlText w:val=""/>
      <w:lvlJc w:val="left"/>
      <w:pPr>
        <w:ind w:left="4964" w:hanging="360"/>
      </w:pPr>
      <w:rPr>
        <w:rFonts w:hint="default" w:ascii="Symbol" w:hAnsi="Symbol"/>
      </w:rPr>
    </w:lvl>
    <w:lvl w:ilvl="7">
      <w:start w:val="1"/>
      <w:numFmt w:val="bullet"/>
      <w:isLgl w:val="false"/>
      <w:suff w:val="tab"/>
      <w:lvlText w:val="o"/>
      <w:lvlJc w:val="left"/>
      <w:pPr>
        <w:ind w:left="5684" w:hanging="360"/>
      </w:pPr>
      <w:rPr>
        <w:rFonts w:hint="default" w:ascii="Courier New" w:hAnsi="Courier New" w:cs="Courier New"/>
      </w:rPr>
    </w:lvl>
    <w:lvl w:ilvl="8">
      <w:start w:val="1"/>
      <w:numFmt w:val="bullet"/>
      <w:isLgl w:val="false"/>
      <w:suff w:val="tab"/>
      <w:lvlText w:val=""/>
      <w:lvlJc w:val="left"/>
      <w:pPr>
        <w:ind w:left="6404" w:hanging="360"/>
      </w:pPr>
      <w:rPr>
        <w:rFonts w:hint="default" w:ascii="Wingdings" w:hAnsi="Wingdings"/>
      </w:rPr>
    </w:lvl>
  </w:abstractNum>
  <w:abstractNum w:abstractNumId="5">
    <w:multiLevelType w:val="hybridMultilevel"/>
    <w:lvl w:ilvl="0">
      <w:start w:val="152"/>
      <w:numFmt w:val="decimal"/>
      <w:isLgl w:val="false"/>
      <w:suff w:val="tab"/>
      <w:lvlText w:val="%1"/>
      <w:lvlJc w:val="left"/>
      <w:pPr>
        <w:ind w:left="720" w:hanging="360"/>
      </w:pPr>
      <w:rPr>
        <w:rFonts w:hint="default"/>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6">
    <w:multiLevelType w:val="hybridMultilevel"/>
    <w:lvl w:ilvl="0">
      <w:start w:val="2"/>
      <w:numFmt w:val="bullet"/>
      <w:isLgl w:val="false"/>
      <w:suff w:val="tab"/>
      <w:lvlText w:val=""/>
      <w:lvlJc w:val="left"/>
      <w:pPr>
        <w:ind w:left="1068" w:hanging="360"/>
      </w:pPr>
      <w:rPr>
        <w:rFonts w:hint="default" w:ascii="Symbol" w:hAnsi="Symbol" w:eastAsia="Times New Roman" w:cs="Times New Roman"/>
      </w:rPr>
    </w:lvl>
    <w:lvl w:ilvl="1">
      <w:start w:val="1"/>
      <w:numFmt w:val="bullet"/>
      <w:isLgl w:val="false"/>
      <w:suff w:val="tab"/>
      <w:lvlText w:val="o"/>
      <w:lvlJc w:val="left"/>
      <w:pPr>
        <w:ind w:left="1788" w:hanging="360"/>
      </w:pPr>
      <w:rPr>
        <w:rFonts w:hint="default" w:ascii="Courier New" w:hAnsi="Courier New" w:cs="Courier New"/>
      </w:rPr>
    </w:lvl>
    <w:lvl w:ilvl="2">
      <w:start w:val="1"/>
      <w:numFmt w:val="bullet"/>
      <w:isLgl w:val="false"/>
      <w:suff w:val="tab"/>
      <w:lvlText w:val=""/>
      <w:lvlJc w:val="left"/>
      <w:pPr>
        <w:ind w:left="2508" w:hanging="360"/>
      </w:pPr>
      <w:rPr>
        <w:rFonts w:hint="default" w:ascii="Wingdings" w:hAnsi="Wingdings"/>
      </w:rPr>
    </w:lvl>
    <w:lvl w:ilvl="3">
      <w:start w:val="1"/>
      <w:numFmt w:val="bullet"/>
      <w:isLgl w:val="false"/>
      <w:suff w:val="tab"/>
      <w:lvlText w:val=""/>
      <w:lvlJc w:val="left"/>
      <w:pPr>
        <w:ind w:left="3228" w:hanging="360"/>
      </w:pPr>
      <w:rPr>
        <w:rFonts w:hint="default" w:ascii="Symbol" w:hAnsi="Symbol"/>
      </w:rPr>
    </w:lvl>
    <w:lvl w:ilvl="4">
      <w:start w:val="1"/>
      <w:numFmt w:val="bullet"/>
      <w:isLgl w:val="false"/>
      <w:suff w:val="tab"/>
      <w:lvlText w:val="o"/>
      <w:lvlJc w:val="left"/>
      <w:pPr>
        <w:ind w:left="3948" w:hanging="360"/>
      </w:pPr>
      <w:rPr>
        <w:rFonts w:hint="default" w:ascii="Courier New" w:hAnsi="Courier New" w:cs="Courier New"/>
      </w:rPr>
    </w:lvl>
    <w:lvl w:ilvl="5">
      <w:start w:val="1"/>
      <w:numFmt w:val="bullet"/>
      <w:isLgl w:val="false"/>
      <w:suff w:val="tab"/>
      <w:lvlText w:val=""/>
      <w:lvlJc w:val="left"/>
      <w:pPr>
        <w:ind w:left="4668" w:hanging="360"/>
      </w:pPr>
      <w:rPr>
        <w:rFonts w:hint="default" w:ascii="Wingdings" w:hAnsi="Wingdings"/>
      </w:rPr>
    </w:lvl>
    <w:lvl w:ilvl="6">
      <w:start w:val="1"/>
      <w:numFmt w:val="bullet"/>
      <w:isLgl w:val="false"/>
      <w:suff w:val="tab"/>
      <w:lvlText w:val=""/>
      <w:lvlJc w:val="left"/>
      <w:pPr>
        <w:ind w:left="5388" w:hanging="360"/>
      </w:pPr>
      <w:rPr>
        <w:rFonts w:hint="default" w:ascii="Symbol" w:hAnsi="Symbol"/>
      </w:rPr>
    </w:lvl>
    <w:lvl w:ilvl="7">
      <w:start w:val="1"/>
      <w:numFmt w:val="bullet"/>
      <w:isLgl w:val="false"/>
      <w:suff w:val="tab"/>
      <w:lvlText w:val="o"/>
      <w:lvlJc w:val="left"/>
      <w:pPr>
        <w:ind w:left="6108" w:hanging="360"/>
      </w:pPr>
      <w:rPr>
        <w:rFonts w:hint="default" w:ascii="Courier New" w:hAnsi="Courier New" w:cs="Courier New"/>
      </w:rPr>
    </w:lvl>
    <w:lvl w:ilvl="8">
      <w:start w:val="1"/>
      <w:numFmt w:val="bullet"/>
      <w:isLgl w:val="false"/>
      <w:suff w:val="tab"/>
      <w:lvlText w:val=""/>
      <w:lvlJc w:val="left"/>
      <w:pPr>
        <w:ind w:left="6828" w:hanging="360"/>
      </w:pPr>
      <w:rPr>
        <w:rFonts w:hint="default" w:ascii="Wingdings" w:hAnsi="Wingdings"/>
      </w:rPr>
    </w:lvl>
  </w:abstractNum>
  <w:abstractNum w:abstractNumId="7">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720" w:hanging="720"/>
      </w:pPr>
      <w:rPr>
        <w:rFonts w:hint="default"/>
      </w:rPr>
    </w:lvl>
    <w:lvl w:ilvl="2">
      <w:start w:val="1"/>
      <w:numFmt w:val="decimal"/>
      <w:isLgl w:val="false"/>
      <w:suff w:val="tab"/>
      <w:lvlText w:val="%1.%2.%3."/>
      <w:lvlJc w:val="left"/>
      <w:pPr>
        <w:ind w:left="720" w:hanging="720"/>
      </w:pPr>
      <w:rPr>
        <w:rFonts w:hint="default"/>
      </w:rPr>
    </w:lvl>
    <w:lvl w:ilvl="3">
      <w:start w:val="1"/>
      <w:numFmt w:val="decimal"/>
      <w:isLgl w:val="false"/>
      <w:suff w:val="tab"/>
      <w:lvlText w:val="%1.%2.%3.%4."/>
      <w:lvlJc w:val="left"/>
      <w:pPr>
        <w:ind w:left="1080" w:hanging="1080"/>
      </w:pPr>
      <w:rPr>
        <w:rFonts w:hint="default"/>
      </w:rPr>
    </w:lvl>
    <w:lvl w:ilvl="4">
      <w:start w:val="1"/>
      <w:numFmt w:val="decimal"/>
      <w:isLgl w:val="false"/>
      <w:suff w:val="tab"/>
      <w:lvlText w:val="%1.%2.%3.%4.%5."/>
      <w:lvlJc w:val="left"/>
      <w:pPr>
        <w:ind w:left="1080" w:hanging="1080"/>
      </w:pPr>
      <w:rPr>
        <w:rFonts w:hint="default"/>
      </w:rPr>
    </w:lvl>
    <w:lvl w:ilvl="5">
      <w:start w:val="1"/>
      <w:numFmt w:val="decimal"/>
      <w:isLgl w:val="false"/>
      <w:suff w:val="tab"/>
      <w:lvlText w:val="%1.%2.%3.%4.%5.%6."/>
      <w:lvlJc w:val="left"/>
      <w:pPr>
        <w:ind w:left="1440" w:hanging="1440"/>
      </w:pPr>
      <w:rPr>
        <w:rFonts w:hint="default"/>
      </w:rPr>
    </w:lvl>
    <w:lvl w:ilvl="6">
      <w:start w:val="1"/>
      <w:numFmt w:val="decimal"/>
      <w:isLgl w:val="false"/>
      <w:suff w:val="tab"/>
      <w:lvlText w:val="%1.%2.%3.%4.%5.%6.%7."/>
      <w:lvlJc w:val="left"/>
      <w:pPr>
        <w:ind w:left="1800" w:hanging="1800"/>
      </w:pPr>
      <w:rPr>
        <w:rFonts w:hint="default"/>
      </w:rPr>
    </w:lvl>
    <w:lvl w:ilvl="7">
      <w:start w:val="1"/>
      <w:numFmt w:val="decimal"/>
      <w:isLgl w:val="false"/>
      <w:suff w:val="tab"/>
      <w:lvlText w:val="%1.%2.%3.%4.%5.%6.%7.%8."/>
      <w:lvlJc w:val="left"/>
      <w:pPr>
        <w:ind w:left="1800" w:hanging="1800"/>
      </w:pPr>
      <w:rPr>
        <w:rFonts w:hint="default"/>
      </w:rPr>
    </w:lvl>
    <w:lvl w:ilvl="8">
      <w:start w:val="1"/>
      <w:numFmt w:val="decimal"/>
      <w:isLgl w:val="false"/>
      <w:suff w:val="tab"/>
      <w:lvlText w:val="%1.%2.%3.%4.%5.%6.%7.%8.%9."/>
      <w:lvlJc w:val="left"/>
      <w:pPr>
        <w:ind w:left="2160" w:hanging="2160"/>
      </w:pPr>
      <w:rPr>
        <w:rFonts w:hint="default"/>
      </w:rPr>
    </w:lvl>
  </w:abstractNum>
  <w:abstractNum w:abstractNumId="8">
    <w:multiLevelType w:val="hybridMultilevel"/>
    <w:lvl w:ilvl="0">
      <w:start w:val="7"/>
      <w:numFmt w:val="decimal"/>
      <w:isLgl w:val="false"/>
      <w:suff w:val="tab"/>
      <w:lvlText w:val="%1."/>
      <w:lvlJc w:val="left"/>
      <w:pPr>
        <w:ind w:left="786" w:hanging="360"/>
      </w:pPr>
      <w:rPr>
        <w:rFonts w:hint="default" w:ascii="Times New Roman" w:hAnsi="Times New Roman" w:cs="Times New Roman"/>
        <w:color w:val="000000"/>
        <w:sz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9">
    <w:multiLevelType w:val="hybridMultilevel"/>
    <w:lvl w:ilvl="0">
      <w:start w:val="3"/>
      <w:numFmt w:val="bullet"/>
      <w:isLgl w:val="false"/>
      <w:suff w:val="tab"/>
      <w:lvlText w:val=""/>
      <w:lvlJc w:val="left"/>
      <w:pPr>
        <w:ind w:left="1065" w:hanging="360"/>
      </w:pPr>
      <w:rPr>
        <w:rFonts w:hint="default" w:ascii="Symbol" w:hAnsi="Symbol" w:cs="Times New Roman" w:eastAsiaTheme="minorEastAsia"/>
        <w:color w:val="auto"/>
      </w:rPr>
    </w:lvl>
    <w:lvl w:ilvl="1">
      <w:start w:val="1"/>
      <w:numFmt w:val="bullet"/>
      <w:isLgl w:val="false"/>
      <w:suff w:val="tab"/>
      <w:lvlText w:val="o"/>
      <w:lvlJc w:val="left"/>
      <w:pPr>
        <w:ind w:left="1785" w:hanging="360"/>
      </w:pPr>
      <w:rPr>
        <w:rFonts w:hint="default" w:ascii="Courier New" w:hAnsi="Courier New" w:cs="Courier New"/>
      </w:rPr>
    </w:lvl>
    <w:lvl w:ilvl="2">
      <w:start w:val="1"/>
      <w:numFmt w:val="bullet"/>
      <w:isLgl w:val="false"/>
      <w:suff w:val="tab"/>
      <w:lvlText w:val=""/>
      <w:lvlJc w:val="left"/>
      <w:pPr>
        <w:ind w:left="2505" w:hanging="360"/>
      </w:pPr>
      <w:rPr>
        <w:rFonts w:hint="default" w:ascii="Wingdings" w:hAnsi="Wingdings"/>
      </w:rPr>
    </w:lvl>
    <w:lvl w:ilvl="3">
      <w:start w:val="1"/>
      <w:numFmt w:val="bullet"/>
      <w:isLgl w:val="false"/>
      <w:suff w:val="tab"/>
      <w:lvlText w:val=""/>
      <w:lvlJc w:val="left"/>
      <w:pPr>
        <w:ind w:left="3225" w:hanging="360"/>
      </w:pPr>
      <w:rPr>
        <w:rFonts w:hint="default" w:ascii="Symbol" w:hAnsi="Symbol"/>
      </w:rPr>
    </w:lvl>
    <w:lvl w:ilvl="4">
      <w:start w:val="1"/>
      <w:numFmt w:val="bullet"/>
      <w:isLgl w:val="false"/>
      <w:suff w:val="tab"/>
      <w:lvlText w:val="o"/>
      <w:lvlJc w:val="left"/>
      <w:pPr>
        <w:ind w:left="3945" w:hanging="360"/>
      </w:pPr>
      <w:rPr>
        <w:rFonts w:hint="default" w:ascii="Courier New" w:hAnsi="Courier New" w:cs="Courier New"/>
      </w:rPr>
    </w:lvl>
    <w:lvl w:ilvl="5">
      <w:start w:val="1"/>
      <w:numFmt w:val="bullet"/>
      <w:isLgl w:val="false"/>
      <w:suff w:val="tab"/>
      <w:lvlText w:val=""/>
      <w:lvlJc w:val="left"/>
      <w:pPr>
        <w:ind w:left="4665" w:hanging="360"/>
      </w:pPr>
      <w:rPr>
        <w:rFonts w:hint="default" w:ascii="Wingdings" w:hAnsi="Wingdings"/>
      </w:rPr>
    </w:lvl>
    <w:lvl w:ilvl="6">
      <w:start w:val="1"/>
      <w:numFmt w:val="bullet"/>
      <w:isLgl w:val="false"/>
      <w:suff w:val="tab"/>
      <w:lvlText w:val=""/>
      <w:lvlJc w:val="left"/>
      <w:pPr>
        <w:ind w:left="5385" w:hanging="360"/>
      </w:pPr>
      <w:rPr>
        <w:rFonts w:hint="default" w:ascii="Symbol" w:hAnsi="Symbol"/>
      </w:rPr>
    </w:lvl>
    <w:lvl w:ilvl="7">
      <w:start w:val="1"/>
      <w:numFmt w:val="bullet"/>
      <w:isLgl w:val="false"/>
      <w:suff w:val="tab"/>
      <w:lvlText w:val="o"/>
      <w:lvlJc w:val="left"/>
      <w:pPr>
        <w:ind w:left="6105" w:hanging="360"/>
      </w:pPr>
      <w:rPr>
        <w:rFonts w:hint="default" w:ascii="Courier New" w:hAnsi="Courier New" w:cs="Courier New"/>
      </w:rPr>
    </w:lvl>
    <w:lvl w:ilvl="8">
      <w:start w:val="1"/>
      <w:numFmt w:val="bullet"/>
      <w:isLgl w:val="false"/>
      <w:suff w:val="tab"/>
      <w:lvlText w:val=""/>
      <w:lvlJc w:val="left"/>
      <w:pPr>
        <w:ind w:left="6825" w:hanging="360"/>
      </w:pPr>
      <w:rPr>
        <w:rFonts w:hint="default" w:ascii="Wingdings" w:hAnsi="Wingdings"/>
      </w:rPr>
    </w:lvl>
  </w:abstractNum>
  <w:abstractNum w:abstractNumId="10">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080" w:hanging="720"/>
      </w:pPr>
      <w:rPr>
        <w:rFonts w:hint="default"/>
      </w:rPr>
    </w:lvl>
    <w:lvl w:ilvl="2">
      <w:start w:val="1"/>
      <w:numFmt w:val="decimal"/>
      <w:isLgl w:val="false"/>
      <w:suff w:val="tab"/>
      <w:lvlText w:val="%1.%2.%3."/>
      <w:lvlJc w:val="left"/>
      <w:pPr>
        <w:ind w:left="1440" w:hanging="720"/>
      </w:pPr>
      <w:rPr>
        <w:rFonts w:hint="default"/>
      </w:rPr>
    </w:lvl>
    <w:lvl w:ilvl="3">
      <w:start w:val="1"/>
      <w:numFmt w:val="decimal"/>
      <w:isLgl w:val="false"/>
      <w:suff w:val="tab"/>
      <w:lvlText w:val="%1.%2.%3.%4."/>
      <w:lvlJc w:val="left"/>
      <w:pPr>
        <w:ind w:left="2160" w:hanging="1080"/>
      </w:pPr>
      <w:rPr>
        <w:rFonts w:hint="default"/>
      </w:rPr>
    </w:lvl>
    <w:lvl w:ilvl="4">
      <w:start w:val="1"/>
      <w:numFmt w:val="decimal"/>
      <w:isLgl w:val="false"/>
      <w:suff w:val="tab"/>
      <w:lvlText w:val="%1.%2.%3.%4.%5."/>
      <w:lvlJc w:val="left"/>
      <w:pPr>
        <w:ind w:left="2520" w:hanging="1080"/>
      </w:pPr>
      <w:rPr>
        <w:rFonts w:hint="default"/>
      </w:rPr>
    </w:lvl>
    <w:lvl w:ilvl="5">
      <w:start w:val="1"/>
      <w:numFmt w:val="decimal"/>
      <w:isLgl w:val="false"/>
      <w:suff w:val="tab"/>
      <w:lvlText w:val="%1.%2.%3.%4.%5.%6."/>
      <w:lvlJc w:val="left"/>
      <w:pPr>
        <w:ind w:left="3240" w:hanging="1440"/>
      </w:pPr>
      <w:rPr>
        <w:rFonts w:hint="default"/>
      </w:rPr>
    </w:lvl>
    <w:lvl w:ilvl="6">
      <w:start w:val="1"/>
      <w:numFmt w:val="decimal"/>
      <w:isLgl w:val="false"/>
      <w:suff w:val="tab"/>
      <w:lvlText w:val="%1.%2.%3.%4.%5.%6.%7."/>
      <w:lvlJc w:val="left"/>
      <w:pPr>
        <w:ind w:left="3960" w:hanging="1800"/>
      </w:pPr>
      <w:rPr>
        <w:rFonts w:hint="default"/>
      </w:rPr>
    </w:lvl>
    <w:lvl w:ilvl="7">
      <w:start w:val="1"/>
      <w:numFmt w:val="decimal"/>
      <w:isLgl w:val="false"/>
      <w:suff w:val="tab"/>
      <w:lvlText w:val="%1.%2.%3.%4.%5.%6.%7.%8."/>
      <w:lvlJc w:val="left"/>
      <w:pPr>
        <w:ind w:left="4320" w:hanging="1800"/>
      </w:pPr>
      <w:rPr>
        <w:rFonts w:hint="default"/>
      </w:rPr>
    </w:lvl>
    <w:lvl w:ilvl="8">
      <w:start w:val="1"/>
      <w:numFmt w:val="decimal"/>
      <w:isLgl w:val="false"/>
      <w:suff w:val="tab"/>
      <w:lvlText w:val="%1.%2.%3.%4.%5.%6.%7.%8.%9."/>
      <w:lvlJc w:val="left"/>
      <w:pPr>
        <w:ind w:left="5040" w:hanging="2160"/>
      </w:pPr>
      <w:rPr>
        <w:rFonts w:hint="default"/>
      </w:rPr>
    </w:lvl>
  </w:abstractNum>
  <w:abstractNum w:abstractNumId="11">
    <w:multiLevelType w:val="hybridMultilevel"/>
    <w:lvl w:ilvl="0">
      <w:start w:val="3"/>
      <w:numFmt w:val="decimal"/>
      <w:isLgl w:val="false"/>
      <w:suff w:val="tab"/>
      <w:lvlText w:val="%1."/>
      <w:lvlJc w:val="left"/>
      <w:pPr>
        <w:ind w:left="1080" w:hanging="360"/>
        <w:tabs>
          <w:tab w:val="num" w:pos="1080" w:leader="none"/>
        </w:tabs>
      </w:pPr>
      <w:rPr>
        <w:rFonts w:hint="default"/>
      </w:rPr>
    </w:lvl>
    <w:lvl w:ilvl="1">
      <w:start w:val="1"/>
      <w:numFmt w:val="lowerLetter"/>
      <w:isLgl w:val="false"/>
      <w:suff w:val="tab"/>
      <w:lvlText w:val="%2."/>
      <w:lvlJc w:val="left"/>
      <w:pPr>
        <w:ind w:left="1800" w:hanging="360"/>
        <w:tabs>
          <w:tab w:val="num" w:pos="1800" w:leader="none"/>
        </w:tabs>
      </w:pPr>
    </w:lvl>
    <w:lvl w:ilvl="2">
      <w:start w:val="1"/>
      <w:numFmt w:val="lowerRoman"/>
      <w:isLgl w:val="false"/>
      <w:suff w:val="tab"/>
      <w:lvlText w:val="%3."/>
      <w:lvlJc w:val="right"/>
      <w:pPr>
        <w:ind w:left="2520" w:hanging="180"/>
        <w:tabs>
          <w:tab w:val="num" w:pos="2520" w:leader="none"/>
        </w:tabs>
      </w:pPr>
    </w:lvl>
    <w:lvl w:ilvl="3">
      <w:start w:val="1"/>
      <w:numFmt w:val="decimal"/>
      <w:isLgl w:val="false"/>
      <w:suff w:val="tab"/>
      <w:lvlText w:val="%4."/>
      <w:lvlJc w:val="left"/>
      <w:pPr>
        <w:ind w:left="3240" w:hanging="360"/>
        <w:tabs>
          <w:tab w:val="num" w:pos="3240" w:leader="none"/>
        </w:tabs>
      </w:pPr>
    </w:lvl>
    <w:lvl w:ilvl="4">
      <w:start w:val="1"/>
      <w:numFmt w:val="lowerLetter"/>
      <w:isLgl w:val="false"/>
      <w:suff w:val="tab"/>
      <w:lvlText w:val="%5."/>
      <w:lvlJc w:val="left"/>
      <w:pPr>
        <w:ind w:left="3960" w:hanging="360"/>
        <w:tabs>
          <w:tab w:val="num" w:pos="3960" w:leader="none"/>
        </w:tabs>
      </w:pPr>
    </w:lvl>
    <w:lvl w:ilvl="5">
      <w:start w:val="1"/>
      <w:numFmt w:val="lowerRoman"/>
      <w:isLgl w:val="false"/>
      <w:suff w:val="tab"/>
      <w:lvlText w:val="%6."/>
      <w:lvlJc w:val="right"/>
      <w:pPr>
        <w:ind w:left="4680" w:hanging="180"/>
        <w:tabs>
          <w:tab w:val="num" w:pos="4680" w:leader="none"/>
        </w:tabs>
      </w:pPr>
    </w:lvl>
    <w:lvl w:ilvl="6">
      <w:start w:val="1"/>
      <w:numFmt w:val="decimal"/>
      <w:isLgl w:val="false"/>
      <w:suff w:val="tab"/>
      <w:lvlText w:val="%7."/>
      <w:lvlJc w:val="left"/>
      <w:pPr>
        <w:ind w:left="5400" w:hanging="360"/>
        <w:tabs>
          <w:tab w:val="num" w:pos="5400" w:leader="none"/>
        </w:tabs>
      </w:pPr>
    </w:lvl>
    <w:lvl w:ilvl="7">
      <w:start w:val="1"/>
      <w:numFmt w:val="lowerLetter"/>
      <w:isLgl w:val="false"/>
      <w:suff w:val="tab"/>
      <w:lvlText w:val="%8."/>
      <w:lvlJc w:val="left"/>
      <w:pPr>
        <w:ind w:left="6120" w:hanging="360"/>
        <w:tabs>
          <w:tab w:val="num" w:pos="6120" w:leader="none"/>
        </w:tabs>
      </w:pPr>
    </w:lvl>
    <w:lvl w:ilvl="8">
      <w:start w:val="1"/>
      <w:numFmt w:val="lowerRoman"/>
      <w:isLgl w:val="false"/>
      <w:suff w:val="tab"/>
      <w:lvlText w:val="%9."/>
      <w:lvlJc w:val="right"/>
      <w:pPr>
        <w:ind w:left="6840" w:hanging="180"/>
        <w:tabs>
          <w:tab w:val="num" w:pos="6840" w:leader="none"/>
        </w:tabs>
      </w:pPr>
    </w:lvl>
  </w:abstractNum>
  <w:abstractNum w:abstractNumId="12">
    <w:multiLevelType w:val="hybridMultilevel"/>
    <w:lvl w:ilvl="0">
      <w:start w:val="6"/>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13">
    <w:multiLevelType w:val="hybridMultilevel"/>
    <w:lvl w:ilvl="0">
      <w:start w:val="1"/>
      <w:numFmt w:val="decimal"/>
      <w:isLgl w:val="false"/>
      <w:suff w:val="tab"/>
      <w:lvlText w:val="%1."/>
      <w:lvlJc w:val="left"/>
      <w:pPr>
        <w:ind w:left="720" w:hanging="360"/>
      </w:p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14">
    <w:multiLevelType w:val="hybridMultilevel"/>
    <w:lvl w:ilvl="0">
      <w:start w:val="1"/>
      <w:numFmt w:val="decimal"/>
      <w:isLgl w:val="false"/>
      <w:suff w:val="tab"/>
      <w:lvlText w:val="%1."/>
      <w:lvlJc w:val="left"/>
      <w:pPr>
        <w:ind w:left="720" w:hanging="360"/>
      </w:pPr>
      <w:rPr>
        <w:rFonts w:hint="default" w:ascii="Times New Roman" w:hAnsi="Times New Roman" w:cs="Times New Roman"/>
        <w:sz w:val="28"/>
        <w:szCs w:val="28"/>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15">
    <w:multiLevelType w:val="hybridMultilevel"/>
    <w:lvl w:ilvl="0">
      <w:start w:val="6"/>
      <w:numFmt w:val="decimal"/>
      <w:isLgl w:val="false"/>
      <w:suff w:val="tab"/>
      <w:lvlText w:val="%1."/>
      <w:lvlJc w:val="left"/>
      <w:pPr>
        <w:ind w:left="620" w:hanging="620"/>
        <w:tabs>
          <w:tab w:val="num" w:pos="620" w:leader="none"/>
        </w:tabs>
      </w:pPr>
      <w:rPr>
        <w:rFonts w:hint="default"/>
      </w:rPr>
    </w:lvl>
    <w:lvl w:ilvl="1">
      <w:start w:val="1"/>
      <w:numFmt w:val="decimal"/>
      <w:isLgl w:val="false"/>
      <w:suff w:val="tab"/>
      <w:lvlText w:val="%1.%2."/>
      <w:lvlJc w:val="left"/>
      <w:pPr>
        <w:ind w:left="870" w:hanging="720"/>
        <w:tabs>
          <w:tab w:val="num" w:pos="870" w:leader="none"/>
        </w:tabs>
      </w:pPr>
      <w:rPr>
        <w:rFonts w:hint="default"/>
      </w:rPr>
    </w:lvl>
    <w:lvl w:ilvl="2">
      <w:start w:val="3"/>
      <w:numFmt w:val="decimal"/>
      <w:pStyle w:val="971"/>
      <w:isLgl w:val="false"/>
      <w:suff w:val="tab"/>
      <w:lvlText w:val="%1.%2.%3."/>
      <w:lvlJc w:val="left"/>
      <w:pPr>
        <w:ind w:left="1020" w:hanging="720"/>
        <w:tabs>
          <w:tab w:val="num" w:pos="1020" w:leader="none"/>
        </w:tabs>
      </w:pPr>
      <w:rPr>
        <w:rFonts w:hint="default"/>
      </w:rPr>
    </w:lvl>
    <w:lvl w:ilvl="3">
      <w:start w:val="1"/>
      <w:numFmt w:val="decimal"/>
      <w:isLgl w:val="false"/>
      <w:suff w:val="tab"/>
      <w:lvlText w:val="%1.%2.%3.%4."/>
      <w:lvlJc w:val="left"/>
      <w:pPr>
        <w:ind w:left="1530" w:hanging="1080"/>
        <w:tabs>
          <w:tab w:val="num" w:pos="1530" w:leader="none"/>
        </w:tabs>
      </w:pPr>
      <w:rPr>
        <w:rFonts w:hint="default"/>
      </w:rPr>
    </w:lvl>
    <w:lvl w:ilvl="4">
      <w:start w:val="1"/>
      <w:numFmt w:val="decimal"/>
      <w:isLgl w:val="false"/>
      <w:suff w:val="tab"/>
      <w:lvlText w:val="%1.%2.%3.%4.%5."/>
      <w:lvlJc w:val="left"/>
      <w:pPr>
        <w:ind w:left="1680" w:hanging="1080"/>
        <w:tabs>
          <w:tab w:val="num" w:pos="1680" w:leader="none"/>
        </w:tabs>
      </w:pPr>
      <w:rPr>
        <w:rFonts w:hint="default"/>
      </w:rPr>
    </w:lvl>
    <w:lvl w:ilvl="5">
      <w:start w:val="1"/>
      <w:numFmt w:val="decimal"/>
      <w:isLgl w:val="false"/>
      <w:suff w:val="tab"/>
      <w:lvlText w:val="%1.%2.%3.%4.%5.%6."/>
      <w:lvlJc w:val="left"/>
      <w:pPr>
        <w:ind w:left="2190" w:hanging="1440"/>
        <w:tabs>
          <w:tab w:val="num" w:pos="2190" w:leader="none"/>
        </w:tabs>
      </w:pPr>
      <w:rPr>
        <w:rFonts w:hint="default"/>
      </w:rPr>
    </w:lvl>
    <w:lvl w:ilvl="6">
      <w:start w:val="1"/>
      <w:numFmt w:val="decimal"/>
      <w:isLgl w:val="false"/>
      <w:suff w:val="tab"/>
      <w:lvlText w:val="%1.%2.%3.%4.%5.%6.%7."/>
      <w:lvlJc w:val="left"/>
      <w:pPr>
        <w:ind w:left="2700" w:hanging="1800"/>
        <w:tabs>
          <w:tab w:val="num" w:pos="2700" w:leader="none"/>
        </w:tabs>
      </w:pPr>
      <w:rPr>
        <w:rFonts w:hint="default"/>
      </w:rPr>
    </w:lvl>
    <w:lvl w:ilvl="7">
      <w:start w:val="1"/>
      <w:numFmt w:val="decimal"/>
      <w:isLgl w:val="false"/>
      <w:suff w:val="tab"/>
      <w:lvlText w:val="%1.%2.%3.%4.%5.%6.%7.%8."/>
      <w:lvlJc w:val="left"/>
      <w:pPr>
        <w:ind w:left="2850" w:hanging="1800"/>
        <w:tabs>
          <w:tab w:val="num" w:pos="2850" w:leader="none"/>
        </w:tabs>
      </w:pPr>
      <w:rPr>
        <w:rFonts w:hint="default"/>
      </w:rPr>
    </w:lvl>
    <w:lvl w:ilvl="8">
      <w:start w:val="1"/>
      <w:numFmt w:val="decimal"/>
      <w:isLgl w:val="false"/>
      <w:suff w:val="tab"/>
      <w:lvlText w:val="%1.%2.%3.%4.%5.%6.%7.%8.%9."/>
      <w:lvlJc w:val="left"/>
      <w:pPr>
        <w:ind w:left="3360" w:hanging="2160"/>
        <w:tabs>
          <w:tab w:val="num" w:pos="3360" w:leader="none"/>
        </w:tabs>
      </w:pPr>
      <w:rPr>
        <w:rFonts w:hint="default"/>
      </w:rPr>
    </w:lvl>
  </w:abstractNum>
  <w:abstractNum w:abstractNumId="16">
    <w:multiLevelType w:val="hybridMultilevel"/>
    <w:lvl w:ilvl="0">
      <w:start w:val="1"/>
      <w:numFmt w:val="bullet"/>
      <w:isLgl w:val="false"/>
      <w:suff w:val="tab"/>
      <w:lvlText w:val=""/>
      <w:lvlJc w:val="left"/>
      <w:pPr>
        <w:ind w:left="786" w:hanging="360"/>
      </w:pPr>
      <w:rPr>
        <w:rFonts w:hint="default" w:ascii="Symbol" w:hAnsi="Symbol"/>
      </w:rPr>
    </w:lvl>
    <w:lvl w:ilvl="1">
      <w:start w:val="1"/>
      <w:numFmt w:val="bullet"/>
      <w:isLgl w:val="false"/>
      <w:suff w:val="tab"/>
      <w:lvlText w:val="o"/>
      <w:lvlJc w:val="left"/>
      <w:pPr>
        <w:ind w:left="1506" w:hanging="360"/>
      </w:pPr>
      <w:rPr>
        <w:rFonts w:hint="default" w:ascii="Courier New" w:hAnsi="Courier New" w:cs="Courier New"/>
      </w:rPr>
    </w:lvl>
    <w:lvl w:ilvl="2">
      <w:start w:val="1"/>
      <w:numFmt w:val="bullet"/>
      <w:isLgl w:val="false"/>
      <w:suff w:val="tab"/>
      <w:lvlText w:val=""/>
      <w:lvlJc w:val="left"/>
      <w:pPr>
        <w:ind w:left="2226" w:hanging="360"/>
      </w:pPr>
      <w:rPr>
        <w:rFonts w:hint="default" w:ascii="Wingdings" w:hAnsi="Wingdings"/>
      </w:rPr>
    </w:lvl>
    <w:lvl w:ilvl="3">
      <w:start w:val="1"/>
      <w:numFmt w:val="bullet"/>
      <w:isLgl w:val="false"/>
      <w:suff w:val="tab"/>
      <w:lvlText w:val=""/>
      <w:lvlJc w:val="left"/>
      <w:pPr>
        <w:ind w:left="2946" w:hanging="360"/>
      </w:pPr>
      <w:rPr>
        <w:rFonts w:hint="default" w:ascii="Symbol" w:hAnsi="Symbol"/>
      </w:rPr>
    </w:lvl>
    <w:lvl w:ilvl="4">
      <w:start w:val="1"/>
      <w:numFmt w:val="bullet"/>
      <w:isLgl w:val="false"/>
      <w:suff w:val="tab"/>
      <w:lvlText w:val="o"/>
      <w:lvlJc w:val="left"/>
      <w:pPr>
        <w:ind w:left="3666" w:hanging="360"/>
      </w:pPr>
      <w:rPr>
        <w:rFonts w:hint="default" w:ascii="Courier New" w:hAnsi="Courier New" w:cs="Courier New"/>
      </w:rPr>
    </w:lvl>
    <w:lvl w:ilvl="5">
      <w:start w:val="1"/>
      <w:numFmt w:val="bullet"/>
      <w:isLgl w:val="false"/>
      <w:suff w:val="tab"/>
      <w:lvlText w:val=""/>
      <w:lvlJc w:val="left"/>
      <w:pPr>
        <w:ind w:left="4386" w:hanging="360"/>
      </w:pPr>
      <w:rPr>
        <w:rFonts w:hint="default" w:ascii="Wingdings" w:hAnsi="Wingdings"/>
      </w:rPr>
    </w:lvl>
    <w:lvl w:ilvl="6">
      <w:start w:val="1"/>
      <w:numFmt w:val="bullet"/>
      <w:isLgl w:val="false"/>
      <w:suff w:val="tab"/>
      <w:lvlText w:val=""/>
      <w:lvlJc w:val="left"/>
      <w:pPr>
        <w:ind w:left="5106" w:hanging="360"/>
      </w:pPr>
      <w:rPr>
        <w:rFonts w:hint="default" w:ascii="Symbol" w:hAnsi="Symbol"/>
      </w:rPr>
    </w:lvl>
    <w:lvl w:ilvl="7">
      <w:start w:val="1"/>
      <w:numFmt w:val="bullet"/>
      <w:isLgl w:val="false"/>
      <w:suff w:val="tab"/>
      <w:lvlText w:val="o"/>
      <w:lvlJc w:val="left"/>
      <w:pPr>
        <w:ind w:left="5826" w:hanging="360"/>
      </w:pPr>
      <w:rPr>
        <w:rFonts w:hint="default" w:ascii="Courier New" w:hAnsi="Courier New" w:cs="Courier New"/>
      </w:rPr>
    </w:lvl>
    <w:lvl w:ilvl="8">
      <w:start w:val="1"/>
      <w:numFmt w:val="bullet"/>
      <w:isLgl w:val="false"/>
      <w:suff w:val="tab"/>
      <w:lvlText w:val=""/>
      <w:lvlJc w:val="left"/>
      <w:pPr>
        <w:ind w:left="6546" w:hanging="360"/>
      </w:pPr>
      <w:rPr>
        <w:rFonts w:hint="default" w:ascii="Wingdings" w:hAnsi="Wingdings"/>
      </w:rPr>
    </w:lvl>
  </w:abstractNum>
  <w:abstractNum w:abstractNumId="17">
    <w:multiLevelType w:val="hybridMultilevel"/>
    <w:lvl w:ilvl="0">
      <w:start w:val="20"/>
      <w:numFmt w:val="bullet"/>
      <w:isLgl w:val="false"/>
      <w:suff w:val="tab"/>
      <w:lvlText w:val=""/>
      <w:lvlJc w:val="left"/>
      <w:pPr>
        <w:ind w:left="720" w:hanging="360"/>
      </w:pPr>
      <w:rPr>
        <w:rFonts w:hint="default" w:ascii="Symbol" w:hAnsi="Symbol" w:eastAsia="Times New Roman" w:cs="Times New Roman"/>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18">
    <w:multiLevelType w:val="hybridMultilevel"/>
    <w:lvl w:ilvl="0">
      <w:start w:val="2"/>
      <w:numFmt w:val="bullet"/>
      <w:isLgl w:val="false"/>
      <w:suff w:val="tab"/>
      <w:lvlText w:val=""/>
      <w:lvlJc w:val="left"/>
      <w:pPr>
        <w:ind w:left="720" w:hanging="360"/>
      </w:pPr>
      <w:rPr>
        <w:rFonts w:hint="default" w:ascii="Symbol" w:hAnsi="Symbol" w:eastAsia="Times New Roman" w:cs="Times New Roman"/>
        <w:color w:val="000000"/>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19">
    <w:multiLevelType w:val="hybridMultilevel"/>
    <w:lvl w:ilvl="0">
      <w:start w:val="1"/>
      <w:numFmt w:val="decimal"/>
      <w:isLgl w:val="false"/>
      <w:suff w:val="tab"/>
      <w:lvlText w:val="%1."/>
      <w:lvlJc w:val="left"/>
      <w:pPr>
        <w:ind w:left="720" w:hanging="360"/>
      </w:pPr>
      <w:rPr>
        <w:rFonts w:hint="default" w:ascii="Times New Roman" w:hAnsi="Times New Roman" w:cs="Times New Roman"/>
        <w:sz w:val="28"/>
        <w:szCs w:val="28"/>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20">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080" w:hanging="720"/>
      </w:pPr>
      <w:rPr>
        <w:rFonts w:hint="default"/>
      </w:rPr>
    </w:lvl>
    <w:lvl w:ilvl="2">
      <w:start w:val="1"/>
      <w:numFmt w:val="decimal"/>
      <w:isLgl w:val="false"/>
      <w:suff w:val="tab"/>
      <w:lvlText w:val="%1.%2.%3."/>
      <w:lvlJc w:val="left"/>
      <w:pPr>
        <w:ind w:left="1440" w:hanging="720"/>
      </w:pPr>
      <w:rPr>
        <w:rFonts w:hint="default"/>
      </w:rPr>
    </w:lvl>
    <w:lvl w:ilvl="3">
      <w:start w:val="1"/>
      <w:numFmt w:val="decimal"/>
      <w:isLgl w:val="false"/>
      <w:suff w:val="tab"/>
      <w:lvlText w:val="%1.%2.%3.%4."/>
      <w:lvlJc w:val="left"/>
      <w:pPr>
        <w:ind w:left="2160" w:hanging="1080"/>
      </w:pPr>
      <w:rPr>
        <w:rFonts w:hint="default"/>
      </w:rPr>
    </w:lvl>
    <w:lvl w:ilvl="4">
      <w:start w:val="1"/>
      <w:numFmt w:val="decimal"/>
      <w:isLgl w:val="false"/>
      <w:suff w:val="tab"/>
      <w:lvlText w:val="%1.%2.%3.%4.%5."/>
      <w:lvlJc w:val="left"/>
      <w:pPr>
        <w:ind w:left="2520" w:hanging="1080"/>
      </w:pPr>
      <w:rPr>
        <w:rFonts w:hint="default"/>
      </w:rPr>
    </w:lvl>
    <w:lvl w:ilvl="5">
      <w:start w:val="1"/>
      <w:numFmt w:val="decimal"/>
      <w:isLgl w:val="false"/>
      <w:suff w:val="tab"/>
      <w:lvlText w:val="%1.%2.%3.%4.%5.%6."/>
      <w:lvlJc w:val="left"/>
      <w:pPr>
        <w:ind w:left="3240" w:hanging="1440"/>
      </w:pPr>
      <w:rPr>
        <w:rFonts w:hint="default"/>
      </w:rPr>
    </w:lvl>
    <w:lvl w:ilvl="6">
      <w:start w:val="1"/>
      <w:numFmt w:val="decimal"/>
      <w:isLgl w:val="false"/>
      <w:suff w:val="tab"/>
      <w:lvlText w:val="%1.%2.%3.%4.%5.%6.%7."/>
      <w:lvlJc w:val="left"/>
      <w:pPr>
        <w:ind w:left="3960" w:hanging="1800"/>
      </w:pPr>
      <w:rPr>
        <w:rFonts w:hint="default"/>
      </w:rPr>
    </w:lvl>
    <w:lvl w:ilvl="7">
      <w:start w:val="1"/>
      <w:numFmt w:val="decimal"/>
      <w:isLgl w:val="false"/>
      <w:suff w:val="tab"/>
      <w:lvlText w:val="%1.%2.%3.%4.%5.%6.%7.%8."/>
      <w:lvlJc w:val="left"/>
      <w:pPr>
        <w:ind w:left="4320" w:hanging="1800"/>
      </w:pPr>
      <w:rPr>
        <w:rFonts w:hint="default"/>
      </w:rPr>
    </w:lvl>
    <w:lvl w:ilvl="8">
      <w:start w:val="1"/>
      <w:numFmt w:val="decimal"/>
      <w:isLgl w:val="false"/>
      <w:suff w:val="tab"/>
      <w:lvlText w:val="%1.%2.%3.%4.%5.%6.%7.%8.%9."/>
      <w:lvlJc w:val="left"/>
      <w:pPr>
        <w:ind w:left="5040" w:hanging="2160"/>
      </w:pPr>
      <w:rPr>
        <w:rFonts w:hint="default"/>
      </w:rPr>
    </w:lvl>
  </w:abstractNum>
  <w:abstractNum w:abstractNumId="21">
    <w:multiLevelType w:val="hybridMultilevel"/>
    <w:lvl w:ilvl="0">
      <w:start w:val="3"/>
      <w:numFmt w:val="bullet"/>
      <w:isLgl w:val="false"/>
      <w:suff w:val="tab"/>
      <w:lvlText w:val=""/>
      <w:lvlJc w:val="left"/>
      <w:pPr>
        <w:ind w:left="1070" w:hanging="360"/>
      </w:pPr>
      <w:rPr>
        <w:rFonts w:hint="default" w:ascii="Symbol" w:hAnsi="Symbol" w:cs="Times New Roman" w:eastAsiaTheme="minorEastAsia"/>
        <w:b/>
        <w:color w:val="auto"/>
      </w:rPr>
    </w:lvl>
    <w:lvl w:ilvl="1">
      <w:start w:val="1"/>
      <w:numFmt w:val="bullet"/>
      <w:isLgl w:val="false"/>
      <w:suff w:val="tab"/>
      <w:lvlText w:val="o"/>
      <w:lvlJc w:val="left"/>
      <w:pPr>
        <w:ind w:left="1790" w:hanging="360"/>
      </w:pPr>
      <w:rPr>
        <w:rFonts w:hint="default" w:ascii="Courier New" w:hAnsi="Courier New" w:cs="Courier New"/>
      </w:rPr>
    </w:lvl>
    <w:lvl w:ilvl="2">
      <w:start w:val="1"/>
      <w:numFmt w:val="bullet"/>
      <w:isLgl w:val="false"/>
      <w:suff w:val="tab"/>
      <w:lvlText w:val=""/>
      <w:lvlJc w:val="left"/>
      <w:pPr>
        <w:ind w:left="2510" w:hanging="360"/>
      </w:pPr>
      <w:rPr>
        <w:rFonts w:hint="default" w:ascii="Wingdings" w:hAnsi="Wingdings"/>
      </w:rPr>
    </w:lvl>
    <w:lvl w:ilvl="3">
      <w:start w:val="1"/>
      <w:numFmt w:val="bullet"/>
      <w:isLgl w:val="false"/>
      <w:suff w:val="tab"/>
      <w:lvlText w:val=""/>
      <w:lvlJc w:val="left"/>
      <w:pPr>
        <w:ind w:left="3230" w:hanging="360"/>
      </w:pPr>
      <w:rPr>
        <w:rFonts w:hint="default" w:ascii="Symbol" w:hAnsi="Symbol"/>
      </w:rPr>
    </w:lvl>
    <w:lvl w:ilvl="4">
      <w:start w:val="1"/>
      <w:numFmt w:val="bullet"/>
      <w:isLgl w:val="false"/>
      <w:suff w:val="tab"/>
      <w:lvlText w:val="o"/>
      <w:lvlJc w:val="left"/>
      <w:pPr>
        <w:ind w:left="3950" w:hanging="360"/>
      </w:pPr>
      <w:rPr>
        <w:rFonts w:hint="default" w:ascii="Courier New" w:hAnsi="Courier New" w:cs="Courier New"/>
      </w:rPr>
    </w:lvl>
    <w:lvl w:ilvl="5">
      <w:start w:val="1"/>
      <w:numFmt w:val="bullet"/>
      <w:isLgl w:val="false"/>
      <w:suff w:val="tab"/>
      <w:lvlText w:val=""/>
      <w:lvlJc w:val="left"/>
      <w:pPr>
        <w:ind w:left="4670" w:hanging="360"/>
      </w:pPr>
      <w:rPr>
        <w:rFonts w:hint="default" w:ascii="Wingdings" w:hAnsi="Wingdings"/>
      </w:rPr>
    </w:lvl>
    <w:lvl w:ilvl="6">
      <w:start w:val="1"/>
      <w:numFmt w:val="bullet"/>
      <w:isLgl w:val="false"/>
      <w:suff w:val="tab"/>
      <w:lvlText w:val=""/>
      <w:lvlJc w:val="left"/>
      <w:pPr>
        <w:ind w:left="5390" w:hanging="360"/>
      </w:pPr>
      <w:rPr>
        <w:rFonts w:hint="default" w:ascii="Symbol" w:hAnsi="Symbol"/>
      </w:rPr>
    </w:lvl>
    <w:lvl w:ilvl="7">
      <w:start w:val="1"/>
      <w:numFmt w:val="bullet"/>
      <w:isLgl w:val="false"/>
      <w:suff w:val="tab"/>
      <w:lvlText w:val="o"/>
      <w:lvlJc w:val="left"/>
      <w:pPr>
        <w:ind w:left="6110" w:hanging="360"/>
      </w:pPr>
      <w:rPr>
        <w:rFonts w:hint="default" w:ascii="Courier New" w:hAnsi="Courier New" w:cs="Courier New"/>
      </w:rPr>
    </w:lvl>
    <w:lvl w:ilvl="8">
      <w:start w:val="1"/>
      <w:numFmt w:val="bullet"/>
      <w:isLgl w:val="false"/>
      <w:suff w:val="tab"/>
      <w:lvlText w:val=""/>
      <w:lvlJc w:val="left"/>
      <w:pPr>
        <w:ind w:left="6830" w:hanging="360"/>
      </w:pPr>
      <w:rPr>
        <w:rFonts w:hint="default" w:ascii="Wingdings" w:hAnsi="Wingdings"/>
      </w:rPr>
    </w:lvl>
  </w:abstractNum>
  <w:abstractNum w:abstractNumId="22">
    <w:multiLevelType w:val="hybridMultilevel"/>
    <w:lvl w:ilvl="0">
      <w:start w:val="3"/>
      <w:numFmt w:val="bullet"/>
      <w:isLgl w:val="false"/>
      <w:suff w:val="tab"/>
      <w:lvlText w:val=""/>
      <w:lvlJc w:val="left"/>
      <w:pPr>
        <w:ind w:left="1070" w:hanging="360"/>
      </w:pPr>
      <w:rPr>
        <w:rFonts w:hint="default" w:ascii="Symbol" w:hAnsi="Symbol" w:cs="Times New Roman" w:eastAsiaTheme="minorEastAsia"/>
        <w:color w:val="auto"/>
      </w:rPr>
    </w:lvl>
    <w:lvl w:ilvl="1">
      <w:start w:val="1"/>
      <w:numFmt w:val="bullet"/>
      <w:isLgl w:val="false"/>
      <w:suff w:val="tab"/>
      <w:lvlText w:val="o"/>
      <w:lvlJc w:val="left"/>
      <w:pPr>
        <w:ind w:left="1790" w:hanging="360"/>
      </w:pPr>
      <w:rPr>
        <w:rFonts w:hint="default" w:ascii="Courier New" w:hAnsi="Courier New" w:cs="Courier New"/>
      </w:rPr>
    </w:lvl>
    <w:lvl w:ilvl="2">
      <w:start w:val="1"/>
      <w:numFmt w:val="bullet"/>
      <w:isLgl w:val="false"/>
      <w:suff w:val="tab"/>
      <w:lvlText w:val=""/>
      <w:lvlJc w:val="left"/>
      <w:pPr>
        <w:ind w:left="2510" w:hanging="360"/>
      </w:pPr>
      <w:rPr>
        <w:rFonts w:hint="default" w:ascii="Wingdings" w:hAnsi="Wingdings"/>
      </w:rPr>
    </w:lvl>
    <w:lvl w:ilvl="3">
      <w:start w:val="1"/>
      <w:numFmt w:val="bullet"/>
      <w:isLgl w:val="false"/>
      <w:suff w:val="tab"/>
      <w:lvlText w:val=""/>
      <w:lvlJc w:val="left"/>
      <w:pPr>
        <w:ind w:left="3230" w:hanging="360"/>
      </w:pPr>
      <w:rPr>
        <w:rFonts w:hint="default" w:ascii="Symbol" w:hAnsi="Symbol"/>
      </w:rPr>
    </w:lvl>
    <w:lvl w:ilvl="4">
      <w:start w:val="1"/>
      <w:numFmt w:val="bullet"/>
      <w:isLgl w:val="false"/>
      <w:suff w:val="tab"/>
      <w:lvlText w:val="o"/>
      <w:lvlJc w:val="left"/>
      <w:pPr>
        <w:ind w:left="3950" w:hanging="360"/>
      </w:pPr>
      <w:rPr>
        <w:rFonts w:hint="default" w:ascii="Courier New" w:hAnsi="Courier New" w:cs="Courier New"/>
      </w:rPr>
    </w:lvl>
    <w:lvl w:ilvl="5">
      <w:start w:val="1"/>
      <w:numFmt w:val="bullet"/>
      <w:isLgl w:val="false"/>
      <w:suff w:val="tab"/>
      <w:lvlText w:val=""/>
      <w:lvlJc w:val="left"/>
      <w:pPr>
        <w:ind w:left="4670" w:hanging="360"/>
      </w:pPr>
      <w:rPr>
        <w:rFonts w:hint="default" w:ascii="Wingdings" w:hAnsi="Wingdings"/>
      </w:rPr>
    </w:lvl>
    <w:lvl w:ilvl="6">
      <w:start w:val="1"/>
      <w:numFmt w:val="bullet"/>
      <w:isLgl w:val="false"/>
      <w:suff w:val="tab"/>
      <w:lvlText w:val=""/>
      <w:lvlJc w:val="left"/>
      <w:pPr>
        <w:ind w:left="5390" w:hanging="360"/>
      </w:pPr>
      <w:rPr>
        <w:rFonts w:hint="default" w:ascii="Symbol" w:hAnsi="Symbol"/>
      </w:rPr>
    </w:lvl>
    <w:lvl w:ilvl="7">
      <w:start w:val="1"/>
      <w:numFmt w:val="bullet"/>
      <w:isLgl w:val="false"/>
      <w:suff w:val="tab"/>
      <w:lvlText w:val="o"/>
      <w:lvlJc w:val="left"/>
      <w:pPr>
        <w:ind w:left="6110" w:hanging="360"/>
      </w:pPr>
      <w:rPr>
        <w:rFonts w:hint="default" w:ascii="Courier New" w:hAnsi="Courier New" w:cs="Courier New"/>
      </w:rPr>
    </w:lvl>
    <w:lvl w:ilvl="8">
      <w:start w:val="1"/>
      <w:numFmt w:val="bullet"/>
      <w:isLgl w:val="false"/>
      <w:suff w:val="tab"/>
      <w:lvlText w:val=""/>
      <w:lvlJc w:val="left"/>
      <w:pPr>
        <w:ind w:left="6830" w:hanging="360"/>
      </w:pPr>
      <w:rPr>
        <w:rFonts w:hint="default" w:ascii="Wingdings" w:hAnsi="Wingdings"/>
      </w:rPr>
    </w:lvl>
  </w:abstractNum>
  <w:abstractNum w:abstractNumId="23">
    <w:multiLevelType w:val="hybridMultilevel"/>
    <w:lvl w:ilvl="0">
      <w:start w:val="2"/>
      <w:numFmt w:val="bullet"/>
      <w:isLgl w:val="false"/>
      <w:suff w:val="tab"/>
      <w:lvlText w:val=""/>
      <w:lvlJc w:val="left"/>
      <w:pPr>
        <w:ind w:left="1068" w:hanging="360"/>
      </w:pPr>
      <w:rPr>
        <w:rFonts w:hint="default" w:ascii="Symbol" w:hAnsi="Symbol" w:eastAsia="Times New Roman" w:cs="Times New Roman"/>
      </w:rPr>
    </w:lvl>
    <w:lvl w:ilvl="1">
      <w:start w:val="1"/>
      <w:numFmt w:val="bullet"/>
      <w:isLgl w:val="false"/>
      <w:suff w:val="tab"/>
      <w:lvlText w:val="o"/>
      <w:lvlJc w:val="left"/>
      <w:pPr>
        <w:ind w:left="1788" w:hanging="360"/>
      </w:pPr>
      <w:rPr>
        <w:rFonts w:hint="default" w:ascii="Courier New" w:hAnsi="Courier New" w:cs="Courier New"/>
      </w:rPr>
    </w:lvl>
    <w:lvl w:ilvl="2">
      <w:start w:val="1"/>
      <w:numFmt w:val="bullet"/>
      <w:isLgl w:val="false"/>
      <w:suff w:val="tab"/>
      <w:lvlText w:val=""/>
      <w:lvlJc w:val="left"/>
      <w:pPr>
        <w:ind w:left="2508" w:hanging="360"/>
      </w:pPr>
      <w:rPr>
        <w:rFonts w:hint="default" w:ascii="Wingdings" w:hAnsi="Wingdings"/>
      </w:rPr>
    </w:lvl>
    <w:lvl w:ilvl="3">
      <w:start w:val="1"/>
      <w:numFmt w:val="bullet"/>
      <w:isLgl w:val="false"/>
      <w:suff w:val="tab"/>
      <w:lvlText w:val=""/>
      <w:lvlJc w:val="left"/>
      <w:pPr>
        <w:ind w:left="3228" w:hanging="360"/>
      </w:pPr>
      <w:rPr>
        <w:rFonts w:hint="default" w:ascii="Symbol" w:hAnsi="Symbol"/>
      </w:rPr>
    </w:lvl>
    <w:lvl w:ilvl="4">
      <w:start w:val="1"/>
      <w:numFmt w:val="bullet"/>
      <w:isLgl w:val="false"/>
      <w:suff w:val="tab"/>
      <w:lvlText w:val="o"/>
      <w:lvlJc w:val="left"/>
      <w:pPr>
        <w:ind w:left="3948" w:hanging="360"/>
      </w:pPr>
      <w:rPr>
        <w:rFonts w:hint="default" w:ascii="Courier New" w:hAnsi="Courier New" w:cs="Courier New"/>
      </w:rPr>
    </w:lvl>
    <w:lvl w:ilvl="5">
      <w:start w:val="1"/>
      <w:numFmt w:val="bullet"/>
      <w:isLgl w:val="false"/>
      <w:suff w:val="tab"/>
      <w:lvlText w:val=""/>
      <w:lvlJc w:val="left"/>
      <w:pPr>
        <w:ind w:left="4668" w:hanging="360"/>
      </w:pPr>
      <w:rPr>
        <w:rFonts w:hint="default" w:ascii="Wingdings" w:hAnsi="Wingdings"/>
      </w:rPr>
    </w:lvl>
    <w:lvl w:ilvl="6">
      <w:start w:val="1"/>
      <w:numFmt w:val="bullet"/>
      <w:isLgl w:val="false"/>
      <w:suff w:val="tab"/>
      <w:lvlText w:val=""/>
      <w:lvlJc w:val="left"/>
      <w:pPr>
        <w:ind w:left="5388" w:hanging="360"/>
      </w:pPr>
      <w:rPr>
        <w:rFonts w:hint="default" w:ascii="Symbol" w:hAnsi="Symbol"/>
      </w:rPr>
    </w:lvl>
    <w:lvl w:ilvl="7">
      <w:start w:val="1"/>
      <w:numFmt w:val="bullet"/>
      <w:isLgl w:val="false"/>
      <w:suff w:val="tab"/>
      <w:lvlText w:val="o"/>
      <w:lvlJc w:val="left"/>
      <w:pPr>
        <w:ind w:left="6108" w:hanging="360"/>
      </w:pPr>
      <w:rPr>
        <w:rFonts w:hint="default" w:ascii="Courier New" w:hAnsi="Courier New" w:cs="Courier New"/>
      </w:rPr>
    </w:lvl>
    <w:lvl w:ilvl="8">
      <w:start w:val="1"/>
      <w:numFmt w:val="bullet"/>
      <w:isLgl w:val="false"/>
      <w:suff w:val="tab"/>
      <w:lvlText w:val=""/>
      <w:lvlJc w:val="left"/>
      <w:pPr>
        <w:ind w:left="6828" w:hanging="360"/>
      </w:pPr>
      <w:rPr>
        <w:rFonts w:hint="default" w:ascii="Wingdings" w:hAnsi="Wingdings"/>
      </w:rPr>
    </w:lvl>
  </w:abstractNum>
  <w:abstractNum w:abstractNumId="24">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635" w:hanging="720"/>
      </w:pPr>
      <w:rPr>
        <w:rFonts w:hint="default"/>
      </w:rPr>
    </w:lvl>
    <w:lvl w:ilvl="2">
      <w:start w:val="1"/>
      <w:numFmt w:val="decimal"/>
      <w:isLgl w:val="false"/>
      <w:suff w:val="tab"/>
      <w:lvlText w:val="%1.%2.%3."/>
      <w:lvlJc w:val="left"/>
      <w:pPr>
        <w:ind w:left="2550" w:hanging="720"/>
      </w:pPr>
      <w:rPr>
        <w:rFonts w:hint="default"/>
      </w:rPr>
    </w:lvl>
    <w:lvl w:ilvl="3">
      <w:start w:val="1"/>
      <w:numFmt w:val="decimal"/>
      <w:isLgl w:val="false"/>
      <w:suff w:val="tab"/>
      <w:lvlText w:val="%1.%2.%3.%4."/>
      <w:lvlJc w:val="left"/>
      <w:pPr>
        <w:ind w:left="3825" w:hanging="1080"/>
      </w:pPr>
      <w:rPr>
        <w:rFonts w:hint="default"/>
      </w:rPr>
    </w:lvl>
    <w:lvl w:ilvl="4">
      <w:start w:val="1"/>
      <w:numFmt w:val="decimal"/>
      <w:isLgl w:val="false"/>
      <w:suff w:val="tab"/>
      <w:lvlText w:val="%1.%2.%3.%4.%5."/>
      <w:lvlJc w:val="left"/>
      <w:pPr>
        <w:ind w:left="4740" w:hanging="1080"/>
      </w:pPr>
      <w:rPr>
        <w:rFonts w:hint="default"/>
      </w:rPr>
    </w:lvl>
    <w:lvl w:ilvl="5">
      <w:start w:val="1"/>
      <w:numFmt w:val="decimal"/>
      <w:isLgl w:val="false"/>
      <w:suff w:val="tab"/>
      <w:lvlText w:val="%1.%2.%3.%4.%5.%6."/>
      <w:lvlJc w:val="left"/>
      <w:pPr>
        <w:ind w:left="6015" w:hanging="1440"/>
      </w:pPr>
      <w:rPr>
        <w:rFonts w:hint="default"/>
      </w:rPr>
    </w:lvl>
    <w:lvl w:ilvl="6">
      <w:start w:val="1"/>
      <w:numFmt w:val="decimal"/>
      <w:isLgl w:val="false"/>
      <w:suff w:val="tab"/>
      <w:lvlText w:val="%1.%2.%3.%4.%5.%6.%7."/>
      <w:lvlJc w:val="left"/>
      <w:pPr>
        <w:ind w:left="7290" w:hanging="1800"/>
      </w:pPr>
      <w:rPr>
        <w:rFonts w:hint="default"/>
      </w:rPr>
    </w:lvl>
    <w:lvl w:ilvl="7">
      <w:start w:val="1"/>
      <w:numFmt w:val="decimal"/>
      <w:isLgl w:val="false"/>
      <w:suff w:val="tab"/>
      <w:lvlText w:val="%1.%2.%3.%4.%5.%6.%7.%8."/>
      <w:lvlJc w:val="left"/>
      <w:pPr>
        <w:ind w:left="8205" w:hanging="1800"/>
      </w:pPr>
      <w:rPr>
        <w:rFonts w:hint="default"/>
      </w:rPr>
    </w:lvl>
    <w:lvl w:ilvl="8">
      <w:start w:val="1"/>
      <w:numFmt w:val="decimal"/>
      <w:isLgl w:val="false"/>
      <w:suff w:val="tab"/>
      <w:lvlText w:val="%1.%2.%3.%4.%5.%6.%7.%8.%9."/>
      <w:lvlJc w:val="left"/>
      <w:pPr>
        <w:ind w:left="9480" w:hanging="2160"/>
      </w:pPr>
      <w:rPr>
        <w:rFonts w:hint="default"/>
      </w:rPr>
    </w:lvl>
  </w:abstractNum>
  <w:abstractNum w:abstractNumId="25">
    <w:multiLevelType w:val="hybridMultilevel"/>
    <w:lvl w:ilvl="0">
      <w:start w:val="1"/>
      <w:numFmt w:val="bullet"/>
      <w:isLgl w:val="false"/>
      <w:suff w:val="tab"/>
      <w:lvlText w:val=""/>
      <w:lvlJc w:val="left"/>
      <w:pPr>
        <w:ind w:left="720" w:hanging="360"/>
      </w:pPr>
      <w:rPr>
        <w:rFonts w:hint="default" w:ascii="Symbol" w:hAnsi="Symbol"/>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26">
    <w:multiLevelType w:val="hybridMultilevel"/>
    <w:lvl w:ilvl="0">
      <w:start w:val="1"/>
      <w:numFmt w:val="decimal"/>
      <w:isLgl w:val="false"/>
      <w:suff w:val="tab"/>
      <w:lvlText w:val="%1."/>
      <w:lvlJc w:val="left"/>
      <w:pPr>
        <w:ind w:left="720" w:hanging="360"/>
      </w:p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27">
    <w:multiLevelType w:val="hybridMultilevel"/>
    <w:lvl w:ilvl="0">
      <w:start w:val="1"/>
      <w:numFmt w:val="decimal"/>
      <w:isLgl w:val="false"/>
      <w:suff w:val="tab"/>
      <w:lvlText w:val="%1."/>
      <w:lvlJc w:val="left"/>
      <w:pPr>
        <w:ind w:left="720" w:hanging="360"/>
        <w:tabs>
          <w:tab w:val="num" w:pos="720" w:leader="none"/>
        </w:tabs>
      </w:pPr>
    </w:lvl>
    <w:lvl w:ilvl="1">
      <w:start w:val="1"/>
      <w:numFmt w:val="lowerLetter"/>
      <w:isLgl w:val="false"/>
      <w:suff w:val="tab"/>
      <w:lvlText w:val="%2."/>
      <w:lvlJc w:val="left"/>
      <w:pPr>
        <w:ind w:left="1440" w:hanging="360"/>
        <w:tabs>
          <w:tab w:val="num" w:pos="1440" w:leader="none"/>
        </w:tabs>
      </w:pPr>
    </w:lvl>
    <w:lvl w:ilvl="2">
      <w:start w:val="1"/>
      <w:numFmt w:val="lowerRoman"/>
      <w:isLgl w:val="false"/>
      <w:suff w:val="tab"/>
      <w:lvlText w:val="%3."/>
      <w:lvlJc w:val="right"/>
      <w:pPr>
        <w:ind w:left="2160" w:hanging="180"/>
        <w:tabs>
          <w:tab w:val="num" w:pos="2160" w:leader="none"/>
        </w:tabs>
      </w:pPr>
    </w:lvl>
    <w:lvl w:ilvl="3">
      <w:start w:val="1"/>
      <w:numFmt w:val="decimal"/>
      <w:isLgl w:val="false"/>
      <w:suff w:val="tab"/>
      <w:lvlText w:val="%4."/>
      <w:lvlJc w:val="left"/>
      <w:pPr>
        <w:ind w:left="2880" w:hanging="360"/>
        <w:tabs>
          <w:tab w:val="num" w:pos="2880" w:leader="none"/>
        </w:tabs>
      </w:pPr>
    </w:lvl>
    <w:lvl w:ilvl="4">
      <w:start w:val="1"/>
      <w:numFmt w:val="lowerLetter"/>
      <w:isLgl w:val="false"/>
      <w:suff w:val="tab"/>
      <w:lvlText w:val="%5."/>
      <w:lvlJc w:val="left"/>
      <w:pPr>
        <w:ind w:left="3600" w:hanging="360"/>
        <w:tabs>
          <w:tab w:val="num" w:pos="3600" w:leader="none"/>
        </w:tabs>
      </w:pPr>
    </w:lvl>
    <w:lvl w:ilvl="5">
      <w:start w:val="1"/>
      <w:numFmt w:val="lowerRoman"/>
      <w:isLgl w:val="false"/>
      <w:suff w:val="tab"/>
      <w:lvlText w:val="%6."/>
      <w:lvlJc w:val="right"/>
      <w:pPr>
        <w:ind w:left="4320" w:hanging="180"/>
        <w:tabs>
          <w:tab w:val="num" w:pos="4320" w:leader="none"/>
        </w:tabs>
      </w:pPr>
    </w:lvl>
    <w:lvl w:ilvl="6">
      <w:start w:val="1"/>
      <w:numFmt w:val="decimal"/>
      <w:isLgl w:val="false"/>
      <w:suff w:val="tab"/>
      <w:lvlText w:val="%7."/>
      <w:lvlJc w:val="left"/>
      <w:pPr>
        <w:ind w:left="5040" w:hanging="360"/>
        <w:tabs>
          <w:tab w:val="num" w:pos="5040" w:leader="none"/>
        </w:tabs>
      </w:pPr>
    </w:lvl>
    <w:lvl w:ilvl="7">
      <w:start w:val="1"/>
      <w:numFmt w:val="lowerLetter"/>
      <w:isLgl w:val="false"/>
      <w:suff w:val="tab"/>
      <w:lvlText w:val="%8."/>
      <w:lvlJc w:val="left"/>
      <w:pPr>
        <w:ind w:left="5760" w:hanging="360"/>
        <w:tabs>
          <w:tab w:val="num" w:pos="5760" w:leader="none"/>
        </w:tabs>
      </w:pPr>
    </w:lvl>
    <w:lvl w:ilvl="8">
      <w:start w:val="1"/>
      <w:numFmt w:val="lowerRoman"/>
      <w:isLgl w:val="false"/>
      <w:suff w:val="tab"/>
      <w:lvlText w:val="%9."/>
      <w:lvlJc w:val="right"/>
      <w:pPr>
        <w:ind w:left="6480" w:hanging="180"/>
        <w:tabs>
          <w:tab w:val="num" w:pos="6480" w:leader="none"/>
        </w:tabs>
      </w:pPr>
    </w:lvl>
  </w:abstractNum>
  <w:abstractNum w:abstractNumId="28">
    <w:multiLevelType w:val="hybridMultilevel"/>
    <w:lvl w:ilvl="0">
      <w:start w:val="1"/>
      <w:numFmt w:val="decimal"/>
      <w:isLgl w:val="false"/>
      <w:suff w:val="tab"/>
      <w:lvlText w:val="%1."/>
      <w:lvlJc w:val="left"/>
      <w:pPr>
        <w:ind w:left="786" w:hanging="360"/>
      </w:pPr>
      <w:rPr>
        <w:rFonts w:ascii="Times New Roman" w:hAnsi="Times New Roman" w:cs="Times New Roman" w:eastAsiaTheme="minorEastAsia"/>
        <w:b w:val="0"/>
        <w:sz w:val="28"/>
        <w:szCs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29">
    <w:multiLevelType w:val="hybridMultilevel"/>
    <w:lvl w:ilvl="0">
      <w:start w:val="2"/>
      <w:numFmt w:val="decimal"/>
      <w:isLgl w:val="false"/>
      <w:suff w:val="tab"/>
      <w:lvlText w:val="%1"/>
      <w:lvlJc w:val="left"/>
      <w:pPr>
        <w:ind w:left="720" w:hanging="360"/>
      </w:pPr>
      <w:rPr>
        <w:rFonts w:hint="default"/>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30">
    <w:multiLevelType w:val="hybridMultilevel"/>
    <w:lvl w:ilvl="0">
      <w:start w:val="1"/>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31">
    <w:multiLevelType w:val="hybridMultilevel"/>
    <w:lvl w:ilvl="0">
      <w:start w:val="1"/>
      <w:numFmt w:val="decimal"/>
      <w:isLgl w:val="false"/>
      <w:suff w:val="tab"/>
      <w:lvlText w:val="%1."/>
      <w:lvlJc w:val="left"/>
      <w:pPr>
        <w:ind w:left="786" w:hanging="360"/>
      </w:pPr>
      <w:rPr>
        <w:rFonts w:ascii="Times New Roman" w:hAnsi="Times New Roman" w:cs="Times New Roman" w:eastAsiaTheme="minorEastAsia"/>
        <w:b w:val="0"/>
        <w:sz w:val="28"/>
        <w:szCs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32">
    <w:multiLevelType w:val="hybridMultilevel"/>
    <w:lvl w:ilvl="0">
      <w:start w:val="1"/>
      <w:numFmt w:val="bullet"/>
      <w:isLgl w:val="false"/>
      <w:suff w:val="tab"/>
      <w:lvlText w:val="–"/>
      <w:lvlJc w:val="left"/>
      <w:pPr>
        <w:ind w:left="1418" w:hanging="360"/>
      </w:pPr>
      <w:rPr>
        <w:rFonts w:hint="default" w:ascii="Arial" w:hAnsi="Arial" w:eastAsia="Arial" w:cs="Arial"/>
      </w:rPr>
    </w:lvl>
    <w:lvl w:ilvl="1">
      <w:start w:val="1"/>
      <w:numFmt w:val="bullet"/>
      <w:isLgl w:val="false"/>
      <w:suff w:val="tab"/>
      <w:lvlText w:val="o"/>
      <w:lvlJc w:val="left"/>
      <w:pPr>
        <w:ind w:left="2138" w:hanging="360"/>
      </w:pPr>
      <w:rPr>
        <w:rFonts w:hint="default" w:ascii="Courier New" w:hAnsi="Courier New" w:eastAsia="Courier New" w:cs="Courier New"/>
      </w:rPr>
    </w:lvl>
    <w:lvl w:ilvl="2">
      <w:start w:val="1"/>
      <w:numFmt w:val="bullet"/>
      <w:isLgl w:val="false"/>
      <w:suff w:val="tab"/>
      <w:lvlText w:val="§"/>
      <w:lvlJc w:val="left"/>
      <w:pPr>
        <w:ind w:left="2858" w:hanging="360"/>
      </w:pPr>
      <w:rPr>
        <w:rFonts w:hint="default" w:ascii="Wingdings" w:hAnsi="Wingdings" w:eastAsia="Wingdings" w:cs="Wingdings"/>
      </w:rPr>
    </w:lvl>
    <w:lvl w:ilvl="3">
      <w:start w:val="1"/>
      <w:numFmt w:val="bullet"/>
      <w:isLgl w:val="false"/>
      <w:suff w:val="tab"/>
      <w:lvlText w:val="·"/>
      <w:lvlJc w:val="left"/>
      <w:pPr>
        <w:ind w:left="3578" w:hanging="360"/>
      </w:pPr>
      <w:rPr>
        <w:rFonts w:hint="default" w:ascii="Symbol" w:hAnsi="Symbol" w:eastAsia="Symbol" w:cs="Symbol"/>
      </w:rPr>
    </w:lvl>
    <w:lvl w:ilvl="4">
      <w:start w:val="1"/>
      <w:numFmt w:val="bullet"/>
      <w:isLgl w:val="false"/>
      <w:suff w:val="tab"/>
      <w:lvlText w:val="o"/>
      <w:lvlJc w:val="left"/>
      <w:pPr>
        <w:ind w:left="4298" w:hanging="360"/>
      </w:pPr>
      <w:rPr>
        <w:rFonts w:hint="default" w:ascii="Courier New" w:hAnsi="Courier New" w:eastAsia="Courier New" w:cs="Courier New"/>
      </w:rPr>
    </w:lvl>
    <w:lvl w:ilvl="5">
      <w:start w:val="1"/>
      <w:numFmt w:val="bullet"/>
      <w:isLgl w:val="false"/>
      <w:suff w:val="tab"/>
      <w:lvlText w:val="§"/>
      <w:lvlJc w:val="left"/>
      <w:pPr>
        <w:ind w:left="5018" w:hanging="360"/>
      </w:pPr>
      <w:rPr>
        <w:rFonts w:hint="default" w:ascii="Wingdings" w:hAnsi="Wingdings" w:eastAsia="Wingdings" w:cs="Wingdings"/>
      </w:rPr>
    </w:lvl>
    <w:lvl w:ilvl="6">
      <w:start w:val="1"/>
      <w:numFmt w:val="bullet"/>
      <w:isLgl w:val="false"/>
      <w:suff w:val="tab"/>
      <w:lvlText w:val="·"/>
      <w:lvlJc w:val="left"/>
      <w:pPr>
        <w:ind w:left="5738" w:hanging="360"/>
      </w:pPr>
      <w:rPr>
        <w:rFonts w:hint="default" w:ascii="Symbol" w:hAnsi="Symbol" w:eastAsia="Symbol" w:cs="Symbol"/>
      </w:rPr>
    </w:lvl>
    <w:lvl w:ilvl="7">
      <w:start w:val="1"/>
      <w:numFmt w:val="bullet"/>
      <w:isLgl w:val="false"/>
      <w:suff w:val="tab"/>
      <w:lvlText w:val="o"/>
      <w:lvlJc w:val="left"/>
      <w:pPr>
        <w:ind w:left="6458" w:hanging="360"/>
      </w:pPr>
      <w:rPr>
        <w:rFonts w:hint="default" w:ascii="Courier New" w:hAnsi="Courier New" w:eastAsia="Courier New" w:cs="Courier New"/>
      </w:rPr>
    </w:lvl>
    <w:lvl w:ilvl="8">
      <w:start w:val="1"/>
      <w:numFmt w:val="bullet"/>
      <w:isLgl w:val="false"/>
      <w:suff w:val="tab"/>
      <w:lvlText w:val="§"/>
      <w:lvlJc w:val="left"/>
      <w:pPr>
        <w:ind w:left="7178" w:hanging="360"/>
      </w:pPr>
      <w:rPr>
        <w:rFonts w:hint="default" w:ascii="Wingdings" w:hAnsi="Wingdings" w:eastAsia="Wingdings" w:cs="Wingdings"/>
      </w:rPr>
    </w:lvl>
  </w:abstractNum>
  <w:num w:numId="1">
    <w:abstractNumId w:val="15"/>
  </w:num>
  <w:num w:numId="2">
    <w:abstractNumId w:val="27"/>
  </w:num>
  <w:num w:numId="3">
    <w:abstractNumId w:val="11"/>
  </w:num>
  <w:num w:numId="4">
    <w:abstractNumId w:val="17"/>
  </w:num>
  <w:num w:numId="5">
    <w:abstractNumId w:val="4"/>
  </w:num>
  <w:num w:numId="6">
    <w:abstractNumId w:val="25"/>
  </w:num>
  <w:num w:numId="7">
    <w:abstractNumId w:val="19"/>
  </w:num>
  <w:num w:numId="8">
    <w:abstractNumId w:val="29"/>
  </w:num>
  <w:num w:numId="9">
    <w:abstractNumId w:val="20"/>
  </w:num>
  <w:num w:numId="10">
    <w:abstractNumId w:val="7"/>
  </w:num>
  <w:num w:numId="11">
    <w:abstractNumId w:val="0"/>
  </w:num>
  <w:num w:numId="12">
    <w:abstractNumId w:val="24"/>
  </w:num>
  <w:num w:numId="13">
    <w:abstractNumId w:val="10"/>
  </w:num>
  <w:num w:numId="14">
    <w:abstractNumId w:val="14"/>
  </w:num>
  <w:num w:numId="15">
    <w:abstractNumId w:val="9"/>
  </w:num>
  <w:num w:numId="16">
    <w:abstractNumId w:val="22"/>
  </w:num>
  <w:num w:numId="17">
    <w:abstractNumId w:val="21"/>
  </w:num>
  <w:num w:numId="18">
    <w:abstractNumId w:val="18"/>
  </w:num>
  <w:num w:numId="19">
    <w:abstractNumId w:val="3"/>
  </w:num>
  <w:num w:numId="20">
    <w:abstractNumId w:val="16"/>
  </w:num>
  <w:num w:numId="21">
    <w:abstractNumId w:val="26"/>
  </w:num>
  <w:num w:numId="22">
    <w:abstractNumId w:val="13"/>
  </w:num>
  <w:num w:numId="23">
    <w:abstractNumId w:val="28"/>
  </w:num>
  <w:num w:numId="24">
    <w:abstractNumId w:val="6"/>
  </w:num>
  <w:num w:numId="25">
    <w:abstractNumId w:val="23"/>
  </w:num>
  <w:num w:numId="26">
    <w:abstractNumId w:val="5"/>
  </w:num>
  <w:num w:numId="27">
    <w:abstractNumId w:val="30"/>
  </w:num>
  <w:num w:numId="28">
    <w:abstractNumId w:val="2"/>
  </w:num>
  <w:num w:numId="29">
    <w:abstractNumId w:val="1"/>
  </w:num>
  <w:num w:numId="30">
    <w:abstractNumId w:val="12"/>
  </w:num>
  <w:num w:numId="31">
    <w:abstractNumId w:val="8"/>
  </w:num>
  <w:num w:numId="32">
    <w:abstractNumId w:val="31"/>
  </w:num>
  <w:num w:numId="33">
    <w:abstractNumId w:val="3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trackRevisions w:val="false"/>
  <w:documentProtection/>
  <w:defaultTabStop w:val="708"/>
  <w:characterSpacingControl w:val="doNotCompress"/>
  <w:footnotePr>
    <w:pos w:val="pageBottom"/>
    <w:numFmt w:val="decimal"/>
    <w:numStart w:val="1"/>
    <w:numRestart w:val="continuous"/>
    <w:footnote w:id="-1"/>
    <w:footnote w:id="0"/>
  </w:footnotePr>
  <w:endnotePr>
    <w:pos w:val="docEnd"/>
    <w:numFmt w:val="lowerRoman"/>
    <w:numStart w:val="1"/>
    <w:numRestart w:val="continuous"/>
    <w:endnote w:id="-1"/>
    <w:endnote w:id="0"/>
  </w:endnotePr>
  <w:compat>
    <w:useFELayout w:val="tru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m:mathPr>
    <m:mathFont m:val="Cambria Math"/>
    <m:brkBin m:val="before"/>
    <m:brkBinSub m:val="--"/>
    <m:smallFrac m:val="false"/>
    <m:dispDef m:val="true"/>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strokecolor="00000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hint="default" w:asciiTheme="minorHAnsi" w:hAnsiTheme="minorHAnsi" w:eastAsiaTheme="minorEastAsia" w:cstheme="minorBidi"/>
        <w:sz w:val="22"/>
        <w:szCs w:val="22"/>
        <w:lang w:val="ru-RU" w:eastAsia="ru-RU" w:bidi="ar-SA"/>
      </w:rPr>
    </w:rPrDefault>
    <w:pPrDefault>
      <w:pPr>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character" w:styleId="774">
    <w:name w:val="Heading 1 Char"/>
    <w:basedOn w:val="946"/>
    <w:link w:val="942"/>
    <w:uiPriority w:val="9"/>
    <w:rPr>
      <w:rFonts w:ascii="Arial" w:hAnsi="Arial" w:eastAsia="Arial" w:cs="Arial"/>
      <w:sz w:val="40"/>
      <w:szCs w:val="40"/>
    </w:rPr>
  </w:style>
  <w:style w:type="character" w:styleId="775">
    <w:name w:val="Heading 2 Char"/>
    <w:basedOn w:val="946"/>
    <w:link w:val="943"/>
    <w:uiPriority w:val="9"/>
    <w:rPr>
      <w:rFonts w:ascii="Arial" w:hAnsi="Arial" w:eastAsia="Arial" w:cs="Arial"/>
      <w:sz w:val="34"/>
    </w:rPr>
  </w:style>
  <w:style w:type="character" w:styleId="776">
    <w:name w:val="Heading 3 Char"/>
    <w:basedOn w:val="946"/>
    <w:link w:val="944"/>
    <w:uiPriority w:val="9"/>
    <w:rPr>
      <w:rFonts w:ascii="Arial" w:hAnsi="Arial" w:eastAsia="Arial" w:cs="Arial"/>
      <w:sz w:val="30"/>
      <w:szCs w:val="30"/>
    </w:rPr>
  </w:style>
  <w:style w:type="character" w:styleId="777">
    <w:name w:val="Heading 4 Char"/>
    <w:basedOn w:val="946"/>
    <w:link w:val="945"/>
    <w:uiPriority w:val="9"/>
    <w:rPr>
      <w:rFonts w:ascii="Arial" w:hAnsi="Arial" w:eastAsia="Arial" w:cs="Arial"/>
      <w:b/>
      <w:bCs/>
      <w:sz w:val="26"/>
      <w:szCs w:val="26"/>
    </w:rPr>
  </w:style>
  <w:style w:type="paragraph" w:styleId="778">
    <w:name w:val="Heading 5"/>
    <w:basedOn w:val="941"/>
    <w:next w:val="941"/>
    <w:link w:val="779"/>
    <w:uiPriority w:val="9"/>
    <w:unhideWhenUsed/>
    <w:qFormat/>
    <w:pPr>
      <w:keepLines/>
      <w:keepNext/>
      <w:spacing w:before="320" w:after="200"/>
      <w:outlineLvl w:val="4"/>
    </w:pPr>
    <w:rPr>
      <w:rFonts w:ascii="Arial" w:hAnsi="Arial" w:eastAsia="Arial" w:cs="Arial"/>
      <w:b/>
      <w:bCs/>
      <w:sz w:val="24"/>
      <w:szCs w:val="24"/>
    </w:rPr>
  </w:style>
  <w:style w:type="character" w:styleId="779">
    <w:name w:val="Heading 5 Char"/>
    <w:basedOn w:val="946"/>
    <w:link w:val="778"/>
    <w:uiPriority w:val="9"/>
    <w:rPr>
      <w:rFonts w:ascii="Arial" w:hAnsi="Arial" w:eastAsia="Arial" w:cs="Arial"/>
      <w:b/>
      <w:bCs/>
      <w:sz w:val="24"/>
      <w:szCs w:val="24"/>
    </w:rPr>
  </w:style>
  <w:style w:type="paragraph" w:styleId="780">
    <w:name w:val="Heading 6"/>
    <w:basedOn w:val="941"/>
    <w:next w:val="941"/>
    <w:link w:val="781"/>
    <w:uiPriority w:val="9"/>
    <w:unhideWhenUsed/>
    <w:qFormat/>
    <w:pPr>
      <w:keepLines/>
      <w:keepNext/>
      <w:spacing w:before="320" w:after="200"/>
      <w:outlineLvl w:val="5"/>
    </w:pPr>
    <w:rPr>
      <w:rFonts w:ascii="Arial" w:hAnsi="Arial" w:eastAsia="Arial" w:cs="Arial"/>
      <w:b/>
      <w:bCs/>
      <w:sz w:val="22"/>
      <w:szCs w:val="22"/>
    </w:rPr>
  </w:style>
  <w:style w:type="character" w:styleId="781">
    <w:name w:val="Heading 6 Char"/>
    <w:basedOn w:val="946"/>
    <w:link w:val="780"/>
    <w:uiPriority w:val="9"/>
    <w:rPr>
      <w:rFonts w:ascii="Arial" w:hAnsi="Arial" w:eastAsia="Arial" w:cs="Arial"/>
      <w:b/>
      <w:bCs/>
      <w:sz w:val="22"/>
      <w:szCs w:val="22"/>
    </w:rPr>
  </w:style>
  <w:style w:type="paragraph" w:styleId="782">
    <w:name w:val="Heading 7"/>
    <w:basedOn w:val="941"/>
    <w:next w:val="941"/>
    <w:link w:val="783"/>
    <w:uiPriority w:val="9"/>
    <w:unhideWhenUsed/>
    <w:qFormat/>
    <w:pPr>
      <w:keepLines/>
      <w:keepNext/>
      <w:spacing w:before="320" w:after="200"/>
      <w:outlineLvl w:val="6"/>
    </w:pPr>
    <w:rPr>
      <w:rFonts w:ascii="Arial" w:hAnsi="Arial" w:eastAsia="Arial" w:cs="Arial"/>
      <w:b/>
      <w:bCs/>
      <w:i/>
      <w:iCs/>
      <w:sz w:val="22"/>
      <w:szCs w:val="22"/>
    </w:rPr>
  </w:style>
  <w:style w:type="character" w:styleId="783">
    <w:name w:val="Heading 7 Char"/>
    <w:basedOn w:val="946"/>
    <w:link w:val="782"/>
    <w:uiPriority w:val="9"/>
    <w:rPr>
      <w:rFonts w:ascii="Arial" w:hAnsi="Arial" w:eastAsia="Arial" w:cs="Arial"/>
      <w:b/>
      <w:bCs/>
      <w:i/>
      <w:iCs/>
      <w:sz w:val="22"/>
      <w:szCs w:val="22"/>
    </w:rPr>
  </w:style>
  <w:style w:type="paragraph" w:styleId="784">
    <w:name w:val="Heading 8"/>
    <w:basedOn w:val="941"/>
    <w:next w:val="941"/>
    <w:link w:val="785"/>
    <w:uiPriority w:val="9"/>
    <w:unhideWhenUsed/>
    <w:qFormat/>
    <w:pPr>
      <w:keepLines/>
      <w:keepNext/>
      <w:spacing w:before="320" w:after="200"/>
      <w:outlineLvl w:val="7"/>
    </w:pPr>
    <w:rPr>
      <w:rFonts w:ascii="Arial" w:hAnsi="Arial" w:eastAsia="Arial" w:cs="Arial"/>
      <w:i/>
      <w:iCs/>
      <w:sz w:val="22"/>
      <w:szCs w:val="22"/>
    </w:rPr>
  </w:style>
  <w:style w:type="character" w:styleId="785">
    <w:name w:val="Heading 8 Char"/>
    <w:basedOn w:val="946"/>
    <w:link w:val="784"/>
    <w:uiPriority w:val="9"/>
    <w:rPr>
      <w:rFonts w:ascii="Arial" w:hAnsi="Arial" w:eastAsia="Arial" w:cs="Arial"/>
      <w:i/>
      <w:iCs/>
      <w:sz w:val="22"/>
      <w:szCs w:val="22"/>
    </w:rPr>
  </w:style>
  <w:style w:type="paragraph" w:styleId="786">
    <w:name w:val="Heading 9"/>
    <w:basedOn w:val="941"/>
    <w:next w:val="941"/>
    <w:link w:val="787"/>
    <w:uiPriority w:val="9"/>
    <w:unhideWhenUsed/>
    <w:qFormat/>
    <w:pPr>
      <w:keepLines/>
      <w:keepNext/>
      <w:spacing w:before="320" w:after="200"/>
      <w:outlineLvl w:val="8"/>
    </w:pPr>
    <w:rPr>
      <w:rFonts w:ascii="Arial" w:hAnsi="Arial" w:eastAsia="Arial" w:cs="Arial"/>
      <w:i/>
      <w:iCs/>
      <w:sz w:val="21"/>
      <w:szCs w:val="21"/>
    </w:rPr>
  </w:style>
  <w:style w:type="character" w:styleId="787">
    <w:name w:val="Heading 9 Char"/>
    <w:basedOn w:val="946"/>
    <w:link w:val="786"/>
    <w:uiPriority w:val="9"/>
    <w:rPr>
      <w:rFonts w:ascii="Arial" w:hAnsi="Arial" w:eastAsia="Arial" w:cs="Arial"/>
      <w:i/>
      <w:iCs/>
      <w:sz w:val="21"/>
      <w:szCs w:val="21"/>
    </w:rPr>
  </w:style>
  <w:style w:type="paragraph" w:styleId="788">
    <w:name w:val="No Spacing"/>
    <w:uiPriority w:val="1"/>
    <w:qFormat/>
    <w:pPr>
      <w:spacing w:before="0" w:after="0" w:line="240" w:lineRule="auto"/>
    </w:pPr>
  </w:style>
  <w:style w:type="paragraph" w:styleId="789">
    <w:name w:val="Title"/>
    <w:basedOn w:val="941"/>
    <w:next w:val="941"/>
    <w:link w:val="790"/>
    <w:uiPriority w:val="10"/>
    <w:qFormat/>
    <w:pPr>
      <w:contextualSpacing/>
      <w:spacing w:before="300" w:after="200"/>
    </w:pPr>
    <w:rPr>
      <w:sz w:val="48"/>
      <w:szCs w:val="48"/>
    </w:rPr>
  </w:style>
  <w:style w:type="character" w:styleId="790">
    <w:name w:val="Title Char"/>
    <w:basedOn w:val="946"/>
    <w:link w:val="789"/>
    <w:uiPriority w:val="10"/>
    <w:rPr>
      <w:sz w:val="48"/>
      <w:szCs w:val="48"/>
    </w:rPr>
  </w:style>
  <w:style w:type="paragraph" w:styleId="791">
    <w:name w:val="Subtitle"/>
    <w:basedOn w:val="941"/>
    <w:next w:val="941"/>
    <w:link w:val="792"/>
    <w:uiPriority w:val="11"/>
    <w:qFormat/>
    <w:pPr>
      <w:spacing w:before="200" w:after="200"/>
    </w:pPr>
    <w:rPr>
      <w:sz w:val="24"/>
      <w:szCs w:val="24"/>
    </w:rPr>
  </w:style>
  <w:style w:type="character" w:styleId="792">
    <w:name w:val="Subtitle Char"/>
    <w:basedOn w:val="946"/>
    <w:link w:val="791"/>
    <w:uiPriority w:val="11"/>
    <w:rPr>
      <w:sz w:val="24"/>
      <w:szCs w:val="24"/>
    </w:rPr>
  </w:style>
  <w:style w:type="paragraph" w:styleId="793">
    <w:name w:val="Quote"/>
    <w:basedOn w:val="941"/>
    <w:next w:val="941"/>
    <w:link w:val="794"/>
    <w:uiPriority w:val="29"/>
    <w:qFormat/>
    <w:pPr>
      <w:ind w:left="720" w:right="720"/>
    </w:pPr>
    <w:rPr>
      <w:i/>
    </w:rPr>
  </w:style>
  <w:style w:type="character" w:styleId="794">
    <w:name w:val="Quote Char"/>
    <w:link w:val="793"/>
    <w:uiPriority w:val="29"/>
    <w:rPr>
      <w:i/>
    </w:rPr>
  </w:style>
  <w:style w:type="paragraph" w:styleId="795">
    <w:name w:val="Intense Quote"/>
    <w:basedOn w:val="941"/>
    <w:next w:val="941"/>
    <w:link w:val="796"/>
    <w:uiPriority w:val="30"/>
    <w:qFormat/>
    <w:pPr>
      <w:contextualSpacing w:val="0"/>
      <w:ind w:left="720" w:right="720"/>
      <w:shd w:val="clear" w:color="auto" w:fill="f2f2f2"/>
      <w:pBdr>
        <w:top w:val="single" w:color="FFFFFF" w:sz="4" w:space="5"/>
        <w:left w:val="single" w:color="FFFFFF" w:sz="4" w:space="10"/>
        <w:bottom w:val="single" w:color="FFFFFF" w:sz="4" w:space="5"/>
        <w:right w:val="single" w:color="FFFFFF" w:sz="4" w:space="10"/>
      </w:pBdr>
    </w:pPr>
    <w:rPr>
      <w:i/>
    </w:rPr>
  </w:style>
  <w:style w:type="character" w:styleId="796">
    <w:name w:val="Intense Quote Char"/>
    <w:link w:val="795"/>
    <w:uiPriority w:val="30"/>
    <w:rPr>
      <w:i/>
    </w:rPr>
  </w:style>
  <w:style w:type="character" w:styleId="797">
    <w:name w:val="Header Char"/>
    <w:basedOn w:val="946"/>
    <w:link w:val="977"/>
    <w:uiPriority w:val="99"/>
  </w:style>
  <w:style w:type="character" w:styleId="798">
    <w:name w:val="Footer Char"/>
    <w:basedOn w:val="946"/>
    <w:link w:val="979"/>
    <w:uiPriority w:val="99"/>
  </w:style>
  <w:style w:type="paragraph" w:styleId="799">
    <w:name w:val="Caption"/>
    <w:basedOn w:val="941"/>
    <w:next w:val="941"/>
    <w:uiPriority w:val="35"/>
    <w:semiHidden/>
    <w:unhideWhenUsed/>
    <w:qFormat/>
    <w:pPr>
      <w:spacing w:line="276" w:lineRule="auto"/>
    </w:pPr>
    <w:rPr>
      <w:b/>
      <w:bCs/>
      <w:color w:val="4f81bd" w:themeColor="accent1"/>
      <w:sz w:val="18"/>
      <w:szCs w:val="18"/>
    </w:rPr>
  </w:style>
  <w:style w:type="character" w:styleId="800">
    <w:name w:val="Caption Char"/>
    <w:basedOn w:val="799"/>
    <w:link w:val="979"/>
    <w:uiPriority w:val="99"/>
  </w:style>
  <w:style w:type="table" w:styleId="801">
    <w:name w:val="Table Grid Light"/>
    <w:basedOn w:val="947"/>
    <w:uiPriority w:val="59"/>
    <w:pPr>
      <w:spacing w:after="0" w:line="240" w:lineRule="auto"/>
    </w:pPr>
    <w:tblPr>
      <w:tblInd w:w="0" w:type="dxa"/>
      <w:tblBorders>
        <w:top w:val="single" w:color="000000" w:themeColor="text1" w:themeTint="50" w:sz="4" w:space="0"/>
        <w:left w:val="single" w:color="000000" w:themeColor="text1" w:themeTint="50" w:sz="4" w:space="0"/>
        <w:bottom w:val="single" w:color="000000" w:themeColor="text1" w:themeTint="50" w:sz="4" w:space="0"/>
        <w:right w:val="single" w:color="000000" w:themeColor="text1" w:themeTint="50" w:sz="4" w:space="0"/>
        <w:insideH w:val="single" w:color="000000" w:themeColor="text1" w:themeTint="50" w:sz="4" w:space="0"/>
        <w:insideV w:val="single" w:color="000000" w:themeColor="text1" w:themeTint="50" w:sz="4" w:space="0"/>
      </w:tblBorders>
      <w:tblCellMar>
        <w:left w:w="108" w:type="dxa"/>
        <w:top w:w="0" w:type="dxa"/>
        <w:right w:w="108" w:type="dxa"/>
        <w:bottom w:w="0" w:type="dxa"/>
      </w:tblCellMar>
    </w:tblPr>
  </w:style>
  <w:style w:type="table" w:styleId="802">
    <w:name w:val="Plain Table 1"/>
    <w:basedOn w:val="947"/>
    <w:uiPriority w:val="59"/>
    <w:pPr>
      <w:spacing w:after="0" w:line="240" w:lineRule="auto"/>
    </w:pPr>
    <w:tblPr>
      <w:tblInd w:w="0" w:type="dxa"/>
      <w:tblBorders>
        <w:top w:val="single" w:color="000000" w:themeColor="text1" w:themeTint="50" w:sz="4" w:space="0"/>
        <w:left w:val="single" w:color="000000" w:themeColor="text1" w:themeTint="50" w:sz="4" w:space="0"/>
        <w:bottom w:val="single" w:color="000000" w:themeColor="text1" w:themeTint="50" w:sz="4" w:space="0"/>
        <w:right w:val="single" w:color="000000" w:themeColor="text1" w:themeTint="50" w:sz="4" w:space="0"/>
        <w:insideH w:val="single" w:color="000000" w:themeColor="text1" w:themeTint="50" w:sz="4" w:space="0"/>
        <w:insideV w:val="single" w:color="000000" w:themeColor="text1" w:themeTint="50" w:sz="4" w:space="0"/>
      </w:tblBorders>
      <w:tblCellMar>
        <w:left w:w="108" w:type="dxa"/>
        <w:top w:w="0" w:type="dxa"/>
        <w:right w:w="108" w:type="dxa"/>
        <w:bottom w:w="0" w:type="dxa"/>
      </w:tblCellMar>
    </w:tblPr>
    <w:tblStylePr w:type="band1Horz">
      <w:tcPr>
        <w:shd w:val="clear" w:color="ffffff" w:themeColor="text1" w:themeTint="0D" w:fill="f2f2f2" w:themeFill="text1" w:themeFillTint="0D"/>
      </w:tcPr>
    </w:tblStylePr>
    <w:tblStylePr w:type="band1Vert">
      <w:tcPr>
        <w:shd w:val="clear" w:color="ffffff" w:themeColor="text1" w:themeTint="0D" w:fill="f2f2f2" w:themeFill="text1" w:themeFillTint="0D"/>
      </w:tcPr>
    </w:tblStylePr>
    <w:tblStylePr w:type="firstCol">
      <w:rPr>
        <w:rFonts w:ascii="Arial" w:hAnsi="Arial"/>
        <w:b/>
        <w:color w:val="404040"/>
        <w:sz w:val="22"/>
      </w:rPr>
    </w:tblStylePr>
    <w:tblStylePr w:type="firstRow">
      <w:rPr>
        <w:rFonts w:ascii="Arial" w:hAnsi="Arial"/>
        <w:b/>
        <w:color w:val="404040"/>
        <w:sz w:val="22"/>
      </w:rPr>
    </w:tblStylePr>
    <w:tblStylePr w:type="lastCol">
      <w:rPr>
        <w:rFonts w:ascii="Arial" w:hAnsi="Arial"/>
        <w:b/>
        <w:color w:val="404040"/>
        <w:sz w:val="22"/>
      </w:rPr>
    </w:tblStylePr>
    <w:tblStylePr w:type="lastRow">
      <w:rPr>
        <w:rFonts w:ascii="Arial" w:hAnsi="Arial"/>
        <w:b/>
        <w:color w:val="404040"/>
        <w:sz w:val="22"/>
      </w:rPr>
    </w:tblStylePr>
  </w:style>
  <w:style w:type="table" w:styleId="803">
    <w:name w:val="Plain Table 2"/>
    <w:basedOn w:val="947"/>
    <w:uiPriority w:val="59"/>
    <w:pPr>
      <w:spacing w:after="0" w:line="240" w:lineRule="auto"/>
    </w:pPr>
    <w:tblPr>
      <w:tblInd w:w="0" w:type="dxa"/>
      <w:tblBorders>
        <w:top w:val="single" w:color="000000" w:themeColor="text1" w:sz="4" w:space="0"/>
        <w:left w:val="none" w:color="000000" w:themeColor="text1" w:sz="4" w:space="0"/>
        <w:bottom w:val="single" w:color="000000" w:themeColor="text1" w:sz="4" w:space="0"/>
        <w:right w:val="none" w:color="000000" w:themeColor="text1" w:sz="4" w:space="0"/>
      </w:tblBorders>
      <w:tblCellMar>
        <w:left w:w="108" w:type="dxa"/>
        <w:top w:w="0" w:type="dxa"/>
        <w:right w:w="108" w:type="dxa"/>
        <w:bottom w:w="0" w:type="dxa"/>
      </w:tblCellMar>
    </w:tblPr>
    <w:tblStylePr w:type="band1Horz">
      <w:tcPr>
        <w:tcBorders>
          <w:top w:val="single" w:color="000000" w:themeColor="text1" w:sz="4" w:space="0"/>
          <w:bottom w:val="single" w:color="000000" w:themeColor="text1" w:sz="4" w:space="0"/>
        </w:tcBorders>
      </w:tcPr>
    </w:tblStylePr>
    <w:tblStylePr w:type="band1Vert">
      <w:tcPr>
        <w:tcBorders>
          <w:left w:val="single" w:color="000000" w:themeColor="text1" w:sz="4" w:space="0"/>
          <w:right w:val="single" w:color="000000" w:themeColor="text1" w:sz="4" w:space="0"/>
        </w:tcBorders>
      </w:tcPr>
    </w:tblStylePr>
    <w:tblStylePr w:type="band2Vert">
      <w:tcPr>
        <w:tcBorders>
          <w:left w:val="single" w:color="000000" w:themeColor="text1" w:sz="4" w:space="0"/>
          <w:right w:val="single" w:color="000000" w:themeColor="text1" w:sz="4" w:space="0"/>
        </w:tcBorders>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text1" w:sz="4" w:space="0"/>
          <w:bottom w:val="single" w:color="000000" w:themeColor="text1" w:sz="4" w:space="0"/>
        </w:tcBorders>
      </w:tcPr>
    </w:tblStylePr>
    <w:tblStylePr w:type="lastCol">
      <w:rPr>
        <w:rFonts w:ascii="Arial" w:hAnsi="Arial"/>
        <w:b/>
        <w:color w:val="404040"/>
        <w:sz w:val="22"/>
      </w:rPr>
    </w:tblStylePr>
    <w:tblStylePr w:type="lastRow">
      <w:rPr>
        <w:rFonts w:ascii="Arial" w:hAnsi="Arial"/>
        <w:b/>
        <w:color w:val="404040"/>
        <w:sz w:val="22"/>
      </w:rPr>
    </w:tblStylePr>
  </w:style>
  <w:style w:type="table" w:styleId="804">
    <w:name w:val="Plain Table 3"/>
    <w:basedOn w:val="947"/>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b/>
        <w:caps/>
        <w:color w:val="404040"/>
      </w:rPr>
      <w:tcPr>
        <w:tcBorders>
          <w:top w:val="none" w:color="000000" w:sz="4" w:space="0"/>
          <w:left w:val="none" w:color="000000" w:sz="4" w:space="0"/>
          <w:bottom w:val="none" w:color="000000" w:sz="4" w:space="0"/>
          <w:right w:val="single" w:color="404040" w:sz="4" w:space="0"/>
        </w:tcBorders>
      </w:tcPr>
    </w:tblStylePr>
    <w:tblStylePr w:type="firstRow">
      <w:rPr>
        <w:b/>
        <w:caps/>
        <w:color w:val="404040"/>
      </w:rPr>
      <w:tcPr>
        <w:tcBorders>
          <w:top w:val="none" w:color="000000" w:sz="4" w:space="0"/>
          <w:left w:val="none" w:color="000000" w:sz="4" w:space="0"/>
          <w:bottom w:val="single" w:color="404040" w:sz="4" w:space="0"/>
          <w:right w:val="none" w:color="000000" w:sz="4" w:space="0"/>
        </w:tcBorders>
      </w:tcPr>
    </w:tblStylePr>
    <w:tblStylePr w:type="lastCol">
      <w:rPr>
        <w:b/>
        <w:caps/>
        <w:color w:val="404040"/>
      </w:rPr>
    </w:tblStylePr>
    <w:tblStylePr w:type="lastRow">
      <w:rPr>
        <w:b/>
        <w:caps/>
        <w:color w:val="404040"/>
      </w:rPr>
    </w:tblStylePr>
  </w:style>
  <w:style w:type="table" w:styleId="805">
    <w:name w:val="Plain Table 4"/>
    <w:basedOn w:val="947"/>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b/>
        <w:color w:val="404040"/>
      </w:rPr>
    </w:tblStylePr>
    <w:tblStylePr w:type="firstRow">
      <w:rPr>
        <w:b/>
        <w:color w:val="404040"/>
      </w:rPr>
    </w:tblStylePr>
    <w:tblStylePr w:type="lastCol">
      <w:rPr>
        <w:b/>
        <w:color w:val="404040"/>
      </w:rPr>
    </w:tblStylePr>
    <w:tblStylePr w:type="lastRow">
      <w:rPr>
        <w:b/>
        <w:color w:val="404040"/>
      </w:rPr>
    </w:tblStylePr>
  </w:style>
  <w:style w:type="table" w:styleId="806">
    <w:name w:val="Plain Table 5"/>
    <w:basedOn w:val="947"/>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i/>
        <w:color w:val="404040"/>
      </w:rPr>
      <w:pPr>
        <w:jc w:val="right"/>
      </w:pPr>
      <w:tcPr>
        <w:shd w:val="clear" w:color="ffffff"/>
        <w:tcBorders>
          <w:right w:val="single" w:color="404040" w:sz="4" w:space="0"/>
        </w:tcBorders>
      </w:tcPr>
    </w:tblStylePr>
    <w:tblStylePr w:type="firstRow">
      <w:rPr>
        <w:i/>
        <w:color w:val="404040"/>
      </w:rPr>
      <w:tcPr>
        <w:shd w:val="clear" w:color="ffffff"/>
        <w:tcBorders>
          <w:left w:val="none" w:color="000000" w:sz="4" w:space="0"/>
          <w:bottom w:val="single" w:color="404040" w:sz="4" w:space="0"/>
          <w:right w:val="none" w:color="000000" w:sz="4" w:space="0"/>
        </w:tcBorders>
      </w:tcPr>
    </w:tblStylePr>
    <w:tblStylePr w:type="lastCol">
      <w:rPr>
        <w:i/>
        <w:color w:val="404040"/>
      </w:rPr>
      <w:tcPr>
        <w:shd w:val="clear" w:color="ffffff"/>
        <w:tcBorders>
          <w:left w:val="single" w:color="404040" w:sz="4" w:space="0"/>
        </w:tcBorders>
      </w:tcPr>
    </w:tblStylePr>
    <w:tblStylePr w:type="lastRow">
      <w:rPr>
        <w:i/>
        <w:color w:val="404040"/>
      </w:rPr>
      <w:tcPr>
        <w:shd w:val="clear" w:color="ffffff"/>
        <w:tcBorders>
          <w:top w:val="single" w:color="404040" w:sz="4" w:space="0"/>
          <w:left w:val="none" w:color="000000" w:sz="4" w:space="0"/>
          <w:right w:val="none" w:color="000000" w:sz="4" w:space="0"/>
        </w:tcBorders>
      </w:tcPr>
    </w:tblStylePr>
  </w:style>
  <w:style w:type="table" w:styleId="807">
    <w:name w:val="Grid Table 1 Light"/>
    <w:basedOn w:val="947"/>
    <w:uiPriority w:val="99"/>
    <w:pPr>
      <w:spacing w:after="0" w:line="240" w:lineRule="auto"/>
    </w:pPr>
    <w:tblPr>
      <w:tblStyleRowBandSize w:val="1"/>
      <w:tblStyleColBandSize w:val="1"/>
      <w:tblInd w:w="0" w:type="dxa"/>
      <w:tblBorders>
        <w:top w:val="single" w:color="000000" w:themeColor="text1" w:themeTint="67" w:sz="4" w:space="0"/>
        <w:left w:val="single" w:color="000000" w:themeColor="text1" w:themeTint="67" w:sz="4" w:space="0"/>
        <w:bottom w:val="single" w:color="000000" w:themeColor="text1" w:themeTint="67" w:sz="4" w:space="0"/>
        <w:right w:val="single" w:color="000000" w:themeColor="text1" w:themeTint="67" w:sz="4" w:space="0"/>
        <w:insideH w:val="single" w:color="000000" w:themeColor="text1" w:themeTint="67" w:sz="4" w:space="0"/>
        <w:insideV w:val="single" w:color="000000" w:themeColor="text1" w:themeTint="67" w:sz="4" w:space="0"/>
      </w:tblBorders>
    </w:tblPr>
    <w:tblStylePr w:type="band1Horz">
      <w:rPr>
        <w:rFonts w:ascii="Arial" w:hAnsi="Arial"/>
        <w:color w:val="404040"/>
        <w:sz w:val="22"/>
      </w:rPr>
      <w:tcPr>
        <w:tcBorders>
          <w:top w:val="single" w:color="000000" w:themeColor="text1" w:themeTint="67" w:sz="4" w:space="0"/>
          <w:left w:val="single" w:color="000000" w:themeColor="text1" w:themeTint="67" w:sz="4" w:space="0"/>
          <w:bottom w:val="single" w:color="000000" w:themeColor="text1" w:themeTint="67" w:sz="4" w:space="0"/>
          <w:right w:val="single" w:color="000000" w:themeColor="text1" w:themeTint="67" w:sz="4" w:space="0"/>
        </w:tcBorders>
      </w:tcPr>
    </w:tblStylePr>
    <w:tblStylePr w:type="firstCol">
      <w:rPr>
        <w:b/>
        <w:color w:val="404040"/>
      </w:rPr>
    </w:tblStylePr>
    <w:tblStylePr w:type="firstRow">
      <w:rPr>
        <w:b/>
        <w:color w:val="404040"/>
      </w:rPr>
      <w:tcPr>
        <w:tcBorders>
          <w:bottom w:val="single" w:color="000000" w:themeColor="text1" w:themeTint="95" w:sz="12" w:space="0"/>
        </w:tcBorders>
      </w:tcPr>
    </w:tblStylePr>
    <w:tblStylePr w:type="lastCol">
      <w:rPr>
        <w:b/>
        <w:color w:val="404040"/>
      </w:rPr>
    </w:tblStylePr>
    <w:tblStylePr w:type="lastRow">
      <w:rPr>
        <w:b/>
        <w:color w:val="404040"/>
      </w:rPr>
    </w:tblStylePr>
  </w:style>
  <w:style w:type="table" w:styleId="808">
    <w:name w:val="Grid Table 1 Light - Accent 1"/>
    <w:basedOn w:val="947"/>
    <w:uiPriority w:val="99"/>
    <w:pPr>
      <w:spacing w:after="0" w:line="240" w:lineRule="auto"/>
    </w:pPr>
    <w:tblPr>
      <w:tblStyleRowBandSize w:val="1"/>
      <w:tblStyleColBandSize w:val="1"/>
      <w:tblInd w:w="0" w:type="dxa"/>
      <w:tbl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insideH w:val="single" w:color="000000" w:themeColor="accent1" w:themeTint="67" w:sz="4" w:space="0"/>
        <w:insideV w:val="single" w:color="000000" w:themeColor="accent1" w:themeTint="67" w:sz="4" w:space="0"/>
      </w:tblBorders>
    </w:tblPr>
    <w:tblStylePr w:type="band1Horz">
      <w:rPr>
        <w:rFonts w:ascii="Arial" w:hAnsi="Arial"/>
        <w:color w:val="404040"/>
        <w:sz w:val="22"/>
      </w:rPr>
      <w:tcPr>
        <w:tc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tcBorders>
      </w:tcPr>
    </w:tblStylePr>
    <w:tblStylePr w:type="firstCol">
      <w:rPr>
        <w:b/>
        <w:color w:val="404040"/>
      </w:rPr>
    </w:tblStylePr>
    <w:tblStylePr w:type="firstRow">
      <w:rPr>
        <w:b/>
        <w:color w:val="404040"/>
      </w:rPr>
      <w:tcPr>
        <w:tcBorders>
          <w:bottom w:val="single" w:color="000000" w:themeColor="accent1" w:themeTint="95" w:sz="12" w:space="0"/>
        </w:tcBorders>
      </w:tcPr>
    </w:tblStylePr>
    <w:tblStylePr w:type="lastCol">
      <w:rPr>
        <w:b/>
        <w:color w:val="404040"/>
      </w:rPr>
    </w:tblStylePr>
    <w:tblStylePr w:type="lastRow">
      <w:rPr>
        <w:b/>
        <w:color w:val="404040"/>
      </w:rPr>
    </w:tblStylePr>
  </w:style>
  <w:style w:type="table" w:styleId="809">
    <w:name w:val="Grid Table 1 Light - Accent 2"/>
    <w:basedOn w:val="947"/>
    <w:uiPriority w:val="99"/>
    <w:pPr>
      <w:spacing w:after="0" w:line="240" w:lineRule="auto"/>
    </w:pPr>
    <w:tblPr>
      <w:tblStyleRowBandSize w:val="1"/>
      <w:tblStyleColBandSize w:val="1"/>
      <w:tblInd w:w="0" w:type="dxa"/>
      <w:tbl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insideH w:val="single" w:color="000000" w:themeColor="accent2" w:themeTint="67" w:sz="4" w:space="0"/>
        <w:insideV w:val="single" w:color="000000" w:themeColor="accent2" w:themeTint="67" w:sz="4" w:space="0"/>
      </w:tblBorders>
    </w:tblPr>
    <w:tblStylePr w:type="band1Horz">
      <w:rPr>
        <w:rFonts w:ascii="Arial" w:hAnsi="Arial"/>
        <w:color w:val="404040"/>
        <w:sz w:val="22"/>
      </w:rPr>
      <w:tcPr>
        <w:tc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tcBorders>
      </w:tcPr>
    </w:tblStylePr>
    <w:tblStylePr w:type="firstCol">
      <w:rPr>
        <w:b/>
        <w:color w:val="404040"/>
      </w:rPr>
    </w:tblStylePr>
    <w:tblStylePr w:type="firstRow">
      <w:rPr>
        <w:b/>
        <w:color w:val="404040"/>
      </w:rPr>
      <w:tcPr>
        <w:tcBorders>
          <w:bottom w:val="single" w:color="000000" w:themeColor="accent2" w:themeTint="95" w:sz="12" w:space="0"/>
        </w:tcBorders>
      </w:tcPr>
    </w:tblStylePr>
    <w:tblStylePr w:type="lastCol">
      <w:rPr>
        <w:b/>
        <w:color w:val="404040"/>
      </w:rPr>
    </w:tblStylePr>
    <w:tblStylePr w:type="lastRow">
      <w:rPr>
        <w:b/>
        <w:color w:val="404040"/>
      </w:rPr>
    </w:tblStylePr>
  </w:style>
  <w:style w:type="table" w:styleId="810">
    <w:name w:val="Grid Table 1 Light - Accent 3"/>
    <w:basedOn w:val="947"/>
    <w:uiPriority w:val="99"/>
    <w:pPr>
      <w:spacing w:after="0" w:line="240" w:lineRule="auto"/>
    </w:pPr>
    <w:tblPr>
      <w:tblStyleRowBandSize w:val="1"/>
      <w:tblStyleColBandSize w:val="1"/>
      <w:tblInd w:w="0" w:type="dxa"/>
      <w:tbl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insideH w:val="single" w:color="000000" w:themeColor="accent3" w:themeTint="67" w:sz="4" w:space="0"/>
        <w:insideV w:val="single" w:color="000000" w:themeColor="accent3" w:themeTint="67" w:sz="4" w:space="0"/>
      </w:tblBorders>
    </w:tblPr>
    <w:tblStylePr w:type="band1Horz">
      <w:rPr>
        <w:rFonts w:ascii="Arial" w:hAnsi="Arial"/>
        <w:color w:val="404040"/>
        <w:sz w:val="22"/>
      </w:rPr>
      <w:tcPr>
        <w:tc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tcBorders>
      </w:tcPr>
    </w:tblStylePr>
    <w:tblStylePr w:type="firstCol">
      <w:rPr>
        <w:b/>
        <w:color w:val="404040"/>
      </w:rPr>
    </w:tblStylePr>
    <w:tblStylePr w:type="firstRow">
      <w:rPr>
        <w:b/>
        <w:color w:val="404040"/>
      </w:rPr>
      <w:tcPr>
        <w:tcBorders>
          <w:bottom w:val="single" w:color="000000" w:themeColor="accent3" w:themeTint="95" w:sz="12" w:space="0"/>
        </w:tcBorders>
      </w:tcPr>
    </w:tblStylePr>
    <w:tblStylePr w:type="lastCol">
      <w:rPr>
        <w:b/>
        <w:color w:val="404040"/>
      </w:rPr>
    </w:tblStylePr>
    <w:tblStylePr w:type="lastRow">
      <w:rPr>
        <w:b/>
        <w:color w:val="404040"/>
      </w:rPr>
    </w:tblStylePr>
  </w:style>
  <w:style w:type="table" w:styleId="811">
    <w:name w:val="Grid Table 1 Light - Accent 4"/>
    <w:basedOn w:val="947"/>
    <w:uiPriority w:val="99"/>
    <w:pPr>
      <w:spacing w:after="0" w:line="240" w:lineRule="auto"/>
    </w:pPr>
    <w:tblPr>
      <w:tblStyleRowBandSize w:val="1"/>
      <w:tblStyleColBandSize w:val="1"/>
      <w:tblInd w:w="0" w:type="dxa"/>
      <w:tbl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insideH w:val="single" w:color="000000" w:themeColor="accent4" w:themeTint="67" w:sz="4" w:space="0"/>
        <w:insideV w:val="single" w:color="000000" w:themeColor="accent4" w:themeTint="67" w:sz="4" w:space="0"/>
      </w:tblBorders>
    </w:tblPr>
    <w:tblStylePr w:type="band1Horz">
      <w:rPr>
        <w:rFonts w:ascii="Arial" w:hAnsi="Arial"/>
        <w:color w:val="404040"/>
        <w:sz w:val="22"/>
      </w:rPr>
      <w:tcPr>
        <w:tc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tcBorders>
      </w:tcPr>
    </w:tblStylePr>
    <w:tblStylePr w:type="firstCol">
      <w:rPr>
        <w:b/>
        <w:color w:val="404040"/>
      </w:rPr>
    </w:tblStylePr>
    <w:tblStylePr w:type="firstRow">
      <w:rPr>
        <w:b/>
        <w:color w:val="404040"/>
      </w:rPr>
      <w:tcPr>
        <w:tcBorders>
          <w:bottom w:val="single" w:color="000000" w:themeColor="accent4" w:themeTint="95" w:sz="12" w:space="0"/>
        </w:tcBorders>
      </w:tcPr>
    </w:tblStylePr>
    <w:tblStylePr w:type="lastCol">
      <w:rPr>
        <w:b/>
        <w:color w:val="404040"/>
      </w:rPr>
    </w:tblStylePr>
    <w:tblStylePr w:type="lastRow">
      <w:rPr>
        <w:b/>
        <w:color w:val="404040"/>
      </w:rPr>
    </w:tblStylePr>
  </w:style>
  <w:style w:type="table" w:styleId="812">
    <w:name w:val="Grid Table 1 Light - Accent 5"/>
    <w:basedOn w:val="947"/>
    <w:uiPriority w:val="99"/>
    <w:pPr>
      <w:spacing w:after="0" w:line="240" w:lineRule="auto"/>
    </w:pPr>
    <w:tblPr>
      <w:tblStyleRowBandSize w:val="1"/>
      <w:tblStyleColBandSize w:val="1"/>
      <w:tblInd w:w="0" w:type="dxa"/>
      <w:tbl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insideH w:val="single" w:color="000000" w:themeColor="accent5" w:themeTint="67" w:sz="4" w:space="0"/>
        <w:insideV w:val="single" w:color="000000" w:themeColor="accent5" w:themeTint="67" w:sz="4" w:space="0"/>
      </w:tblBorders>
    </w:tblPr>
    <w:tblStylePr w:type="band1Horz">
      <w:rPr>
        <w:rFonts w:ascii="Arial" w:hAnsi="Arial"/>
        <w:color w:val="404040"/>
        <w:sz w:val="22"/>
      </w:rPr>
      <w:tcPr>
        <w:tc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tcBorders>
      </w:tcPr>
    </w:tblStylePr>
    <w:tblStylePr w:type="firstCol">
      <w:rPr>
        <w:b/>
        <w:color w:val="404040"/>
      </w:rPr>
    </w:tblStylePr>
    <w:tblStylePr w:type="firstRow">
      <w:rPr>
        <w:b/>
        <w:color w:val="404040"/>
      </w:rPr>
      <w:tcPr>
        <w:tcBorders>
          <w:bottom w:val="single" w:color="000000" w:themeColor="accent5" w:themeTint="95" w:sz="12" w:space="0"/>
        </w:tcBorders>
      </w:tcPr>
    </w:tblStylePr>
    <w:tblStylePr w:type="lastCol">
      <w:rPr>
        <w:b/>
        <w:color w:val="404040"/>
      </w:rPr>
    </w:tblStylePr>
    <w:tblStylePr w:type="lastRow">
      <w:rPr>
        <w:b/>
        <w:color w:val="404040"/>
      </w:rPr>
    </w:tblStylePr>
  </w:style>
  <w:style w:type="table" w:styleId="813">
    <w:name w:val="Grid Table 1 Light - Accent 6"/>
    <w:basedOn w:val="947"/>
    <w:uiPriority w:val="99"/>
    <w:pPr>
      <w:spacing w:after="0" w:line="240" w:lineRule="auto"/>
    </w:pPr>
    <w:tblPr>
      <w:tblStyleRowBandSize w:val="1"/>
      <w:tblStyleColBandSize w:val="1"/>
      <w:tblInd w:w="0" w:type="dxa"/>
      <w:tbl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insideH w:val="single" w:color="000000" w:themeColor="accent6" w:themeTint="67" w:sz="4" w:space="0"/>
        <w:insideV w:val="single" w:color="000000" w:themeColor="accent6" w:themeTint="67" w:sz="4" w:space="0"/>
      </w:tblBorders>
    </w:tblPr>
    <w:tblStylePr w:type="band1Horz">
      <w:rPr>
        <w:rFonts w:ascii="Arial" w:hAnsi="Arial"/>
        <w:color w:val="404040"/>
        <w:sz w:val="22"/>
      </w:rPr>
      <w:tcPr>
        <w:tc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tcBorders>
      </w:tcPr>
    </w:tblStylePr>
    <w:tblStylePr w:type="firstCol">
      <w:rPr>
        <w:b/>
        <w:color w:val="404040"/>
      </w:rPr>
    </w:tblStylePr>
    <w:tblStylePr w:type="firstRow">
      <w:rPr>
        <w:b/>
        <w:color w:val="404040"/>
      </w:rPr>
      <w:tcPr>
        <w:tcBorders>
          <w:bottom w:val="single" w:color="000000" w:themeColor="accent6" w:themeTint="95" w:sz="12" w:space="0"/>
        </w:tcBorders>
      </w:tcPr>
    </w:tblStylePr>
    <w:tblStylePr w:type="lastCol">
      <w:rPr>
        <w:b/>
        <w:color w:val="404040"/>
      </w:rPr>
    </w:tblStylePr>
    <w:tblStylePr w:type="lastRow">
      <w:rPr>
        <w:b/>
        <w:color w:val="404040"/>
      </w:rPr>
    </w:tblStylePr>
  </w:style>
  <w:style w:type="table" w:styleId="814">
    <w:name w:val="Grid Table 2"/>
    <w:basedOn w:val="947"/>
    <w:uiPriority w:val="99"/>
    <w:pPr>
      <w:spacing w:after="0" w:line="240" w:lineRule="auto"/>
    </w:pPr>
    <w:tblPr>
      <w:tblStyleRowBandSize w:val="1"/>
      <w:tblStyleColBandSize w:val="1"/>
      <w:tblInd w:w="0" w:type="dxa"/>
      <w:tblBorders>
        <w:bottom w:val="single" w:color="000000" w:themeColor="text1" w:themeTint="95" w:sz="4" w:space="0"/>
        <w:insideH w:val="single" w:color="000000" w:themeColor="text1" w:themeTint="95" w:sz="4" w:space="0"/>
        <w:insideV w:val="single" w:color="000000" w:themeColor="text1" w:themeTint="95"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text1" w:themeTint="95"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text1" w:themeTint="95" w:sz="4" w:space="0"/>
          <w:left w:val="none" w:color="000000" w:sz="4" w:space="0"/>
          <w:bottom w:val="none" w:color="000000" w:sz="4" w:space="0"/>
          <w:right w:val="none" w:color="000000" w:sz="4" w:space="0"/>
        </w:tcBorders>
      </w:tcPr>
    </w:tblStylePr>
  </w:style>
  <w:style w:type="table" w:styleId="815">
    <w:name w:val="Grid Table 2 - Accent 1"/>
    <w:basedOn w:val="947"/>
    <w:uiPriority w:val="99"/>
    <w:pPr>
      <w:spacing w:after="0" w:line="240" w:lineRule="auto"/>
    </w:pPr>
    <w:tblPr>
      <w:tblStyleRowBandSize w:val="1"/>
      <w:tblStyleColBandSize w:val="1"/>
      <w:tblInd w:w="0" w:type="dxa"/>
      <w:tblBorders>
        <w:bottom w:val="single" w:color="000000" w:themeColor="accent1" w:themeTint="EA" w:sz="4" w:space="0"/>
        <w:insideH w:val="single" w:color="000000" w:themeColor="accent1" w:themeTint="EA" w:sz="4" w:space="0"/>
        <w:insideV w:val="single" w:color="000000" w:themeColor="accent1" w:themeTint="EA" w:sz="4" w:space="0"/>
      </w:tblBorders>
    </w:tblPr>
    <w:tblStylePr w:type="band1Horz">
      <w:rPr>
        <w:rFonts w:ascii="Arial" w:hAnsi="Arial"/>
        <w:color w:val="404040"/>
        <w:sz w:val="22"/>
      </w:rPr>
      <w:tcPr>
        <w:shd w:val="clear" w:color="ffffff" w:themeColor="accent1" w:themeTint="34" w:fill="dae5f1" w:themeFill="accent1" w:themeFillTint="34"/>
      </w:tcPr>
    </w:tblStylePr>
    <w:tblStylePr w:type="band1Vert">
      <w:rPr>
        <w:rFonts w:ascii="Arial" w:hAnsi="Arial"/>
        <w:color w:val="404040"/>
        <w:sz w:val="22"/>
      </w:rPr>
      <w:tcPr>
        <w:shd w:val="clear" w:color="ffffff" w:themeColor="accent1" w:themeTint="34" w:fill="dae5f1" w:themeFill="accent1"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1" w:themeTint="EA"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1" w:themeTint="EA" w:sz="4" w:space="0"/>
          <w:left w:val="none" w:color="000000" w:sz="4" w:space="0"/>
          <w:bottom w:val="none" w:color="000000" w:sz="4" w:space="0"/>
          <w:right w:val="none" w:color="000000" w:sz="4" w:space="0"/>
        </w:tcBorders>
      </w:tcPr>
    </w:tblStylePr>
  </w:style>
  <w:style w:type="table" w:styleId="816">
    <w:name w:val="Grid Table 2 - Accent 2"/>
    <w:basedOn w:val="947"/>
    <w:uiPriority w:val="99"/>
    <w:pPr>
      <w:spacing w:after="0" w:line="240" w:lineRule="auto"/>
    </w:pPr>
    <w:tblPr>
      <w:tblStyleRowBandSize w:val="1"/>
      <w:tblStyleColBandSize w:val="1"/>
      <w:tblInd w:w="0" w:type="dxa"/>
      <w:tblBorders>
        <w:bottom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2" w:themeTint="97"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2" w:themeTint="97" w:sz="4" w:space="0"/>
          <w:left w:val="none" w:color="000000" w:sz="4" w:space="0"/>
          <w:bottom w:val="none" w:color="000000" w:sz="4" w:space="0"/>
          <w:right w:val="none" w:color="000000" w:sz="4" w:space="0"/>
        </w:tcBorders>
      </w:tcPr>
    </w:tblStylePr>
  </w:style>
  <w:style w:type="table" w:styleId="817">
    <w:name w:val="Grid Table 2 - Accent 3"/>
    <w:basedOn w:val="947"/>
    <w:uiPriority w:val="99"/>
    <w:pPr>
      <w:spacing w:after="0" w:line="240" w:lineRule="auto"/>
    </w:pPr>
    <w:tblPr>
      <w:tblStyleRowBandSize w:val="1"/>
      <w:tblStyleColBandSize w:val="1"/>
      <w:tblInd w:w="0" w:type="dxa"/>
      <w:tblBorders>
        <w:bottom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3" w:themeTint="FE"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3" w:themeTint="FE" w:sz="4" w:space="0"/>
          <w:left w:val="none" w:color="000000" w:sz="4" w:space="0"/>
          <w:bottom w:val="none" w:color="000000" w:sz="4" w:space="0"/>
          <w:right w:val="none" w:color="000000" w:sz="4" w:space="0"/>
        </w:tcBorders>
      </w:tcPr>
    </w:tblStylePr>
  </w:style>
  <w:style w:type="table" w:styleId="818">
    <w:name w:val="Grid Table 2 - Accent 4"/>
    <w:basedOn w:val="947"/>
    <w:uiPriority w:val="99"/>
    <w:pPr>
      <w:spacing w:after="0" w:line="240" w:lineRule="auto"/>
    </w:pPr>
    <w:tblPr>
      <w:tblStyleRowBandSize w:val="1"/>
      <w:tblStyleColBandSize w:val="1"/>
      <w:tblInd w:w="0" w:type="dxa"/>
      <w:tblBorders>
        <w:bottom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4" w:themeTint="9A"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4" w:themeTint="9A" w:sz="4" w:space="0"/>
          <w:left w:val="none" w:color="000000" w:sz="4" w:space="0"/>
          <w:bottom w:val="none" w:color="000000" w:sz="4" w:space="0"/>
          <w:right w:val="none" w:color="000000" w:sz="4" w:space="0"/>
        </w:tcBorders>
      </w:tcPr>
    </w:tblStylePr>
  </w:style>
  <w:style w:type="table" w:styleId="819">
    <w:name w:val="Grid Table 2 - Accent 5"/>
    <w:basedOn w:val="947"/>
    <w:uiPriority w:val="99"/>
    <w:pPr>
      <w:spacing w:after="0" w:line="240" w:lineRule="auto"/>
    </w:pPr>
    <w:tblPr>
      <w:tblStyleRowBandSize w:val="1"/>
      <w:tblStyleColBandSize w:val="1"/>
      <w:tblInd w:w="0" w:type="dxa"/>
      <w:tblBorders>
        <w:bottom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5"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5" w:sz="4" w:space="0"/>
          <w:left w:val="none" w:color="000000" w:sz="4" w:space="0"/>
          <w:bottom w:val="none" w:color="000000" w:sz="4" w:space="0"/>
          <w:right w:val="none" w:color="000000" w:sz="4" w:space="0"/>
        </w:tcBorders>
      </w:tcPr>
    </w:tblStylePr>
  </w:style>
  <w:style w:type="table" w:styleId="820">
    <w:name w:val="Grid Table 2 - Accent 6"/>
    <w:basedOn w:val="947"/>
    <w:uiPriority w:val="99"/>
    <w:pPr>
      <w:spacing w:after="0" w:line="240" w:lineRule="auto"/>
    </w:pPr>
    <w:tblPr>
      <w:tblStyleRowBandSize w:val="1"/>
      <w:tblStyleColBandSize w:val="1"/>
      <w:tblInd w:w="0" w:type="dxa"/>
      <w:tblBorders>
        <w:bottom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6"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6" w:sz="4" w:space="0"/>
          <w:left w:val="none" w:color="000000" w:sz="4" w:space="0"/>
          <w:bottom w:val="none" w:color="000000" w:sz="4" w:space="0"/>
          <w:right w:val="none" w:color="000000" w:sz="4" w:space="0"/>
        </w:tcBorders>
      </w:tcPr>
    </w:tblStylePr>
  </w:style>
  <w:style w:type="table" w:styleId="821">
    <w:name w:val="Grid Table 3"/>
    <w:basedOn w:val="947"/>
    <w:uiPriority w:val="99"/>
    <w:pPr>
      <w:spacing w:after="0" w:line="240" w:lineRule="auto"/>
    </w:pPr>
    <w:tblPr>
      <w:tblStyleRowBandSize w:val="1"/>
      <w:tblStyleColBandSize w:val="1"/>
      <w:tblInd w:w="0" w:type="dxa"/>
      <w:tblBorders>
        <w:bottom w:val="single" w:color="000000" w:themeColor="text1" w:themeTint="95" w:sz="4" w:space="0"/>
        <w:insideH w:val="single" w:color="000000" w:themeColor="text1" w:themeTint="95" w:sz="4" w:space="0"/>
        <w:insideV w:val="single" w:color="000000" w:themeColor="text1" w:themeTint="95"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22">
    <w:name w:val="Grid Table 3 - Accent 1"/>
    <w:basedOn w:val="947"/>
    <w:uiPriority w:val="99"/>
    <w:pPr>
      <w:spacing w:after="0" w:line="240" w:lineRule="auto"/>
    </w:pPr>
    <w:tblPr>
      <w:tblStyleRowBandSize w:val="1"/>
      <w:tblStyleColBandSize w:val="1"/>
      <w:tblInd w:w="0" w:type="dxa"/>
      <w:tblBorders>
        <w:bottom w:val="single" w:color="000000" w:themeColor="accent1" w:themeTint="EA" w:sz="4" w:space="0"/>
        <w:insideH w:val="single" w:color="000000" w:themeColor="accent1" w:themeTint="EA" w:sz="4" w:space="0"/>
        <w:insideV w:val="single" w:color="000000" w:themeColor="accent1" w:themeTint="EA" w:sz="4" w:space="0"/>
      </w:tblBorders>
    </w:tblPr>
    <w:tblStylePr w:type="band1Horz">
      <w:rPr>
        <w:rFonts w:ascii="Arial" w:hAnsi="Arial"/>
        <w:color w:val="404040"/>
        <w:sz w:val="22"/>
      </w:rPr>
      <w:tcPr>
        <w:shd w:val="clear" w:color="ffffff" w:themeColor="accent1" w:themeTint="34" w:fill="dae5f1" w:themeFill="accent1" w:themeFillTint="34"/>
      </w:tcPr>
    </w:tblStylePr>
    <w:tblStylePr w:type="band1Vert">
      <w:rPr>
        <w:rFonts w:ascii="Arial" w:hAnsi="Arial"/>
        <w:color w:val="404040"/>
        <w:sz w:val="22"/>
      </w:rPr>
      <w:tcPr>
        <w:shd w:val="clear" w:color="ffffff" w:themeColor="accent1" w:themeTint="34" w:fill="dae5f1" w:themeFill="accent1"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23">
    <w:name w:val="Grid Table 3 - Accent 2"/>
    <w:basedOn w:val="947"/>
    <w:uiPriority w:val="99"/>
    <w:pPr>
      <w:spacing w:after="0" w:line="240" w:lineRule="auto"/>
    </w:pPr>
    <w:tblPr>
      <w:tblStyleRowBandSize w:val="1"/>
      <w:tblStyleColBandSize w:val="1"/>
      <w:tblInd w:w="0" w:type="dxa"/>
      <w:tblBorders>
        <w:bottom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24">
    <w:name w:val="Grid Table 3 - Accent 3"/>
    <w:basedOn w:val="947"/>
    <w:uiPriority w:val="99"/>
    <w:pPr>
      <w:spacing w:after="0" w:line="240" w:lineRule="auto"/>
    </w:pPr>
    <w:tblPr>
      <w:tblStyleRowBandSize w:val="1"/>
      <w:tblStyleColBandSize w:val="1"/>
      <w:tblInd w:w="0" w:type="dxa"/>
      <w:tblBorders>
        <w:bottom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25">
    <w:name w:val="Grid Table 3 - Accent 4"/>
    <w:basedOn w:val="947"/>
    <w:uiPriority w:val="99"/>
    <w:pPr>
      <w:spacing w:after="0" w:line="240" w:lineRule="auto"/>
    </w:pPr>
    <w:tblPr>
      <w:tblStyleRowBandSize w:val="1"/>
      <w:tblStyleColBandSize w:val="1"/>
      <w:tblInd w:w="0" w:type="dxa"/>
      <w:tblBorders>
        <w:bottom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26">
    <w:name w:val="Grid Table 3 - Accent 5"/>
    <w:basedOn w:val="947"/>
    <w:uiPriority w:val="99"/>
    <w:pPr>
      <w:spacing w:after="0" w:line="240" w:lineRule="auto"/>
    </w:pPr>
    <w:tblPr>
      <w:tblStyleRowBandSize w:val="1"/>
      <w:tblStyleColBandSize w:val="1"/>
      <w:tblInd w:w="0" w:type="dxa"/>
      <w:tblBorders>
        <w:bottom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27">
    <w:name w:val="Grid Table 3 - Accent 6"/>
    <w:basedOn w:val="947"/>
    <w:uiPriority w:val="99"/>
    <w:pPr>
      <w:spacing w:after="0" w:line="240" w:lineRule="auto"/>
    </w:pPr>
    <w:tblPr>
      <w:tblStyleRowBandSize w:val="1"/>
      <w:tblStyleColBandSize w:val="1"/>
      <w:tblInd w:w="0" w:type="dxa"/>
      <w:tblBorders>
        <w:bottom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28">
    <w:name w:val="Grid Table 4"/>
    <w:basedOn w:val="947"/>
    <w:uiPriority w:val="59"/>
    <w:pPr>
      <w:spacing w:after="0" w:line="240" w:lineRule="auto"/>
    </w:pPr>
    <w:tblPr>
      <w:tblStyleRowBandSize w:val="1"/>
      <w:tblStyleColBandSize w:val="1"/>
      <w:tblInd w:w="0" w:type="dxa"/>
      <w:tblBorders>
        <w:top w:val="single" w:color="000000" w:themeColor="text1" w:themeTint="90" w:sz="4" w:space="0"/>
        <w:left w:val="single" w:color="000000" w:themeColor="text1" w:themeTint="90" w:sz="4" w:space="0"/>
        <w:bottom w:val="single" w:color="000000" w:themeColor="text1" w:themeTint="90" w:sz="4" w:space="0"/>
        <w:right w:val="single" w:color="000000" w:themeColor="text1" w:themeTint="90" w:sz="4" w:space="0"/>
        <w:insideH w:val="single" w:color="000000" w:themeColor="text1" w:themeTint="90" w:sz="4" w:space="0"/>
        <w:insideV w:val="single" w:color="000000" w:themeColor="text1" w:themeTint="90"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b/>
        <w:color w:val="404040"/>
      </w:rPr>
    </w:tblStylePr>
    <w:tblStylePr w:type="firstRow">
      <w:rPr>
        <w:rFonts w:ascii="Arial" w:hAnsi="Arial"/>
        <w:b/>
        <w:color w:val="ffffff"/>
        <w:sz w:val="22"/>
      </w:rPr>
      <w:tcPr>
        <w:shd w:val="clear" w:color="ffffff" w:themeColor="text1" w:fill="000000" w:themeFill="text1"/>
        <w:tcBorders>
          <w:top w:val="single" w:color="000000" w:themeColor="text1" w:sz="4" w:space="0"/>
          <w:left w:val="single" w:color="000000" w:themeColor="text1" w:sz="4" w:space="0"/>
          <w:bottom w:val="single" w:color="000000" w:themeColor="text1" w:sz="4" w:space="0"/>
          <w:right w:val="single" w:color="000000" w:themeColor="text1" w:sz="4" w:space="0"/>
        </w:tcBorders>
      </w:tcPr>
    </w:tblStylePr>
    <w:tblStylePr w:type="lastCol">
      <w:rPr>
        <w:b/>
        <w:color w:val="404040"/>
      </w:rPr>
    </w:tblStylePr>
    <w:tblStylePr w:type="lastRow">
      <w:rPr>
        <w:b/>
        <w:color w:val="404040"/>
      </w:rPr>
      <w:tcPr>
        <w:tcBorders>
          <w:top w:val="single" w:color="000000" w:themeColor="text1" w:sz="4" w:space="0"/>
        </w:tcBorders>
      </w:tcPr>
    </w:tblStylePr>
  </w:style>
  <w:style w:type="table" w:styleId="829">
    <w:name w:val="Grid Table 4 - Accent 1"/>
    <w:basedOn w:val="947"/>
    <w:uiPriority w:val="59"/>
    <w:pPr>
      <w:spacing w:after="0" w:line="240" w:lineRule="auto"/>
    </w:pPr>
    <w:tblPr>
      <w:tblStyleRowBandSize w:val="1"/>
      <w:tblStyleColBandSize w:val="1"/>
      <w:tblInd w:w="0" w:type="dxa"/>
      <w:tblBorders>
        <w:top w:val="single" w:color="000000" w:themeColor="accent1" w:themeTint="90" w:sz="4" w:space="0"/>
        <w:left w:val="single" w:color="000000" w:themeColor="accent1" w:themeTint="90" w:sz="4" w:space="0"/>
        <w:bottom w:val="single" w:color="000000" w:themeColor="accent1" w:themeTint="90" w:sz="4" w:space="0"/>
        <w:right w:val="single" w:color="000000" w:themeColor="accent1" w:themeTint="90" w:sz="4" w:space="0"/>
        <w:insideH w:val="single" w:color="000000" w:themeColor="accent1" w:themeTint="90" w:sz="4" w:space="0"/>
        <w:insideV w:val="single" w:color="000000" w:themeColor="accent1" w:themeTint="90" w:sz="4" w:space="0"/>
      </w:tblBorders>
    </w:tblPr>
    <w:tblStylePr w:type="band1Horz">
      <w:rPr>
        <w:rFonts w:ascii="Arial" w:hAnsi="Arial"/>
        <w:color w:val="404040"/>
        <w:sz w:val="22"/>
      </w:rPr>
      <w:tcPr>
        <w:shd w:val="clear" w:color="ffffff" w:themeColor="accent1" w:themeTint="32" w:fill="dce6f1" w:themeFill="accent1" w:themeFillTint="32"/>
      </w:tcPr>
    </w:tblStylePr>
    <w:tblStylePr w:type="band1Vert">
      <w:rPr>
        <w:rFonts w:ascii="Arial" w:hAnsi="Arial"/>
        <w:color w:val="404040"/>
        <w:sz w:val="22"/>
      </w:rPr>
      <w:tcPr>
        <w:shd w:val="clear" w:color="ffffff" w:themeColor="accent1" w:themeTint="32" w:fill="dce6f1" w:themeFill="accent1" w:themeFillTint="32"/>
      </w:tcPr>
    </w:tblStylePr>
    <w:tblStylePr w:type="firstCol">
      <w:rPr>
        <w:b/>
        <w:color w:val="404040"/>
      </w:rPr>
    </w:tblStylePr>
    <w:tblStylePr w:type="firstRow">
      <w:rPr>
        <w:rFonts w:ascii="Arial" w:hAnsi="Arial"/>
        <w:b/>
        <w:color w:val="ffffff"/>
        <w:sz w:val="22"/>
      </w:rPr>
      <w:tcPr>
        <w:shd w:val="clear" w:color="ffffff" w:themeColor="accent1" w:themeTint="EA" w:fill="5d8dc2" w:themeFill="accent1" w:themeFillTint="EA"/>
        <w:tcBorders>
          <w:top w:val="single" w:color="000000" w:themeColor="accent1" w:themeTint="EA" w:sz="4" w:space="0"/>
          <w:left w:val="single" w:color="000000" w:themeColor="accent1" w:themeTint="EA" w:sz="4" w:space="0"/>
          <w:bottom w:val="single" w:color="000000" w:themeColor="accent1" w:themeTint="EA" w:sz="4" w:space="0"/>
          <w:right w:val="single" w:color="000000" w:themeColor="accent1" w:themeTint="EA" w:sz="4" w:space="0"/>
        </w:tcBorders>
      </w:tcPr>
    </w:tblStylePr>
    <w:tblStylePr w:type="lastCol">
      <w:rPr>
        <w:b/>
        <w:color w:val="404040"/>
      </w:rPr>
    </w:tblStylePr>
    <w:tblStylePr w:type="lastRow">
      <w:rPr>
        <w:b/>
        <w:color w:val="404040"/>
      </w:rPr>
      <w:tcPr>
        <w:tcBorders>
          <w:top w:val="single" w:color="000000" w:themeColor="accent1" w:themeTint="EA" w:sz="4" w:space="0"/>
        </w:tcBorders>
      </w:tcPr>
    </w:tblStylePr>
  </w:style>
  <w:style w:type="table" w:styleId="830">
    <w:name w:val="Grid Table 4 - Accent 2"/>
    <w:basedOn w:val="947"/>
    <w:uiPriority w:val="59"/>
    <w:pPr>
      <w:spacing w:after="0" w:line="240" w:lineRule="auto"/>
    </w:pPr>
    <w:tblPr>
      <w:tblStyleRowBandSize w:val="1"/>
      <w:tblStyleColBandSize w:val="1"/>
      <w:tblInd w:w="0" w:type="dxa"/>
      <w:tblBorders>
        <w:top w:val="single" w:color="000000" w:themeColor="accent2" w:themeTint="90" w:sz="4" w:space="0"/>
        <w:left w:val="single" w:color="000000" w:themeColor="accent2" w:themeTint="90" w:sz="4" w:space="0"/>
        <w:bottom w:val="single" w:color="000000" w:themeColor="accent2" w:themeTint="90" w:sz="4" w:space="0"/>
        <w:right w:val="single" w:color="000000" w:themeColor="accent2" w:themeTint="90" w:sz="4" w:space="0"/>
        <w:insideH w:val="single" w:color="000000" w:themeColor="accent2" w:themeTint="90" w:sz="4" w:space="0"/>
        <w:insideV w:val="single" w:color="000000" w:themeColor="accent2" w:themeTint="90"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b/>
        <w:color w:val="404040"/>
      </w:rPr>
    </w:tblStylePr>
    <w:tblStylePr w:type="firstRow">
      <w:rPr>
        <w:rFonts w:ascii="Arial" w:hAnsi="Arial"/>
        <w:b/>
        <w:color w:val="ffffff"/>
        <w:sz w:val="22"/>
      </w:rPr>
      <w:tcPr>
        <w:shd w:val="clear" w:color="ffffff" w:themeColor="accent2" w:themeTint="97" w:fill="d99694" w:themeFill="accent2" w:themeFillTint="97"/>
        <w:tc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tcBorders>
      </w:tcPr>
    </w:tblStylePr>
    <w:tblStylePr w:type="lastCol">
      <w:rPr>
        <w:b/>
        <w:color w:val="404040"/>
      </w:rPr>
    </w:tblStylePr>
    <w:tblStylePr w:type="lastRow">
      <w:rPr>
        <w:b/>
        <w:color w:val="404040"/>
      </w:rPr>
      <w:tcPr>
        <w:tcBorders>
          <w:top w:val="single" w:color="000000" w:themeColor="accent2" w:themeTint="97" w:sz="4" w:space="0"/>
        </w:tcBorders>
      </w:tcPr>
    </w:tblStylePr>
  </w:style>
  <w:style w:type="table" w:styleId="831">
    <w:name w:val="Grid Table 4 - Accent 3"/>
    <w:basedOn w:val="947"/>
    <w:uiPriority w:val="59"/>
    <w:pPr>
      <w:spacing w:after="0" w:line="240" w:lineRule="auto"/>
    </w:pPr>
    <w:tblPr>
      <w:tblStyleRowBandSize w:val="1"/>
      <w:tblStyleColBandSize w:val="1"/>
      <w:tblInd w:w="0" w:type="dxa"/>
      <w:tblBorders>
        <w:top w:val="single" w:color="000000" w:themeColor="accent3" w:themeTint="90" w:sz="4" w:space="0"/>
        <w:left w:val="single" w:color="000000" w:themeColor="accent3" w:themeTint="90" w:sz="4" w:space="0"/>
        <w:bottom w:val="single" w:color="000000" w:themeColor="accent3" w:themeTint="90" w:sz="4" w:space="0"/>
        <w:right w:val="single" w:color="000000" w:themeColor="accent3" w:themeTint="90" w:sz="4" w:space="0"/>
        <w:insideH w:val="single" w:color="000000" w:themeColor="accent3" w:themeTint="90" w:sz="4" w:space="0"/>
        <w:insideV w:val="single" w:color="000000" w:themeColor="accent3" w:themeTint="90"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b/>
        <w:color w:val="404040"/>
      </w:rPr>
    </w:tblStylePr>
    <w:tblStylePr w:type="firstRow">
      <w:rPr>
        <w:rFonts w:ascii="Arial" w:hAnsi="Arial"/>
        <w:b/>
        <w:color w:val="ffffff"/>
        <w:sz w:val="22"/>
      </w:rPr>
      <w:tcPr>
        <w:shd w:val="clear" w:color="ffffff" w:themeColor="accent3" w:themeTint="FE" w:fill="9bba59" w:themeFill="accent3" w:themeFillTint="FE"/>
        <w:tcBorders>
          <w:top w:val="single" w:color="000000" w:themeColor="accent3" w:themeTint="FE" w:sz="4" w:space="0"/>
          <w:left w:val="single" w:color="000000" w:themeColor="accent3" w:themeTint="FE" w:sz="4" w:space="0"/>
          <w:bottom w:val="single" w:color="000000" w:themeColor="accent3" w:themeTint="FE" w:sz="4" w:space="0"/>
          <w:right w:val="single" w:color="000000" w:themeColor="accent3" w:themeTint="FE" w:sz="4" w:space="0"/>
        </w:tcBorders>
      </w:tcPr>
    </w:tblStylePr>
    <w:tblStylePr w:type="lastCol">
      <w:rPr>
        <w:b/>
        <w:color w:val="404040"/>
      </w:rPr>
    </w:tblStylePr>
    <w:tblStylePr w:type="lastRow">
      <w:rPr>
        <w:b/>
        <w:color w:val="404040"/>
      </w:rPr>
      <w:tcPr>
        <w:tcBorders>
          <w:top w:val="single" w:color="000000" w:themeColor="accent3" w:themeTint="FE" w:sz="4" w:space="0"/>
        </w:tcBorders>
      </w:tcPr>
    </w:tblStylePr>
  </w:style>
  <w:style w:type="table" w:styleId="832">
    <w:name w:val="Grid Table 4 - Accent 4"/>
    <w:basedOn w:val="947"/>
    <w:uiPriority w:val="59"/>
    <w:pPr>
      <w:spacing w:after="0" w:line="240" w:lineRule="auto"/>
    </w:pPr>
    <w:tblPr>
      <w:tblStyleRowBandSize w:val="1"/>
      <w:tblStyleColBandSize w:val="1"/>
      <w:tblInd w:w="0" w:type="dxa"/>
      <w:tblBorders>
        <w:top w:val="single" w:color="000000" w:themeColor="accent4" w:themeTint="90" w:sz="4" w:space="0"/>
        <w:left w:val="single" w:color="000000" w:themeColor="accent4" w:themeTint="90" w:sz="4" w:space="0"/>
        <w:bottom w:val="single" w:color="000000" w:themeColor="accent4" w:themeTint="90" w:sz="4" w:space="0"/>
        <w:right w:val="single" w:color="000000" w:themeColor="accent4" w:themeTint="90" w:sz="4" w:space="0"/>
        <w:insideH w:val="single" w:color="000000" w:themeColor="accent4" w:themeTint="90" w:sz="4" w:space="0"/>
        <w:insideV w:val="single" w:color="000000" w:themeColor="accent4" w:themeTint="90"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b/>
        <w:color w:val="404040"/>
      </w:rPr>
    </w:tblStylePr>
    <w:tblStylePr w:type="firstRow">
      <w:rPr>
        <w:rFonts w:ascii="Arial" w:hAnsi="Arial"/>
        <w:b/>
        <w:color w:val="ffffff"/>
        <w:sz w:val="22"/>
      </w:rPr>
      <w:tcPr>
        <w:shd w:val="clear" w:color="ffffff" w:themeColor="accent4" w:themeTint="9A" w:fill="b2a1c6" w:themeFill="accent4" w:themeFillTint="9A"/>
        <w:tc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tcBorders>
      </w:tcPr>
    </w:tblStylePr>
    <w:tblStylePr w:type="lastCol">
      <w:rPr>
        <w:b/>
        <w:color w:val="404040"/>
      </w:rPr>
    </w:tblStylePr>
    <w:tblStylePr w:type="lastRow">
      <w:rPr>
        <w:b/>
        <w:color w:val="404040"/>
      </w:rPr>
      <w:tcPr>
        <w:tcBorders>
          <w:top w:val="single" w:color="000000" w:themeColor="accent4" w:themeTint="9A" w:sz="4" w:space="0"/>
        </w:tcBorders>
      </w:tcPr>
    </w:tblStylePr>
  </w:style>
  <w:style w:type="table" w:styleId="833">
    <w:name w:val="Grid Table 4 - Accent 5"/>
    <w:basedOn w:val="947"/>
    <w:uiPriority w:val="59"/>
    <w:pPr>
      <w:spacing w:after="0" w:line="240" w:lineRule="auto"/>
    </w:pPr>
    <w:tblPr>
      <w:tblStyleRowBandSize w:val="1"/>
      <w:tblStyleColBandSize w:val="1"/>
      <w:tblInd w:w="0" w:type="dxa"/>
      <w:tblBorders>
        <w:top w:val="single" w:color="000000" w:themeColor="accent5" w:themeTint="90" w:sz="4" w:space="0"/>
        <w:left w:val="single" w:color="000000" w:themeColor="accent5" w:themeTint="90" w:sz="4" w:space="0"/>
        <w:bottom w:val="single" w:color="000000" w:themeColor="accent5" w:themeTint="90" w:sz="4" w:space="0"/>
        <w:right w:val="single" w:color="000000" w:themeColor="accent5" w:themeTint="90" w:sz="4" w:space="0"/>
        <w:insideH w:val="single" w:color="000000" w:themeColor="accent5" w:themeTint="90" w:sz="4" w:space="0"/>
        <w:insideV w:val="single" w:color="000000" w:themeColor="accent5" w:themeTint="90"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b/>
        <w:color w:val="404040"/>
      </w:rPr>
    </w:tblStylePr>
    <w:tblStylePr w:type="firstRow">
      <w:rPr>
        <w:rFonts w:ascii="Arial" w:hAnsi="Arial"/>
        <w:b/>
        <w:color w:val="ffffff"/>
        <w:sz w:val="22"/>
      </w:rPr>
      <w:tcPr>
        <w:shd w:val="clear" w:color="ffffff" w:themeColor="accent5" w:fill="4bacc6" w:themeFill="accent5"/>
        <w:tcBorders>
          <w:top w:val="single" w:color="000000" w:themeColor="accent5" w:sz="4" w:space="0"/>
          <w:left w:val="single" w:color="000000" w:themeColor="accent5" w:sz="4" w:space="0"/>
          <w:bottom w:val="single" w:color="000000" w:themeColor="accent5" w:sz="4" w:space="0"/>
          <w:right w:val="single" w:color="000000" w:themeColor="accent5" w:sz="4" w:space="0"/>
        </w:tcBorders>
      </w:tcPr>
    </w:tblStylePr>
    <w:tblStylePr w:type="lastCol">
      <w:rPr>
        <w:b/>
        <w:color w:val="404040"/>
      </w:rPr>
    </w:tblStylePr>
    <w:tblStylePr w:type="lastRow">
      <w:rPr>
        <w:b/>
        <w:color w:val="404040"/>
      </w:rPr>
      <w:tcPr>
        <w:tcBorders>
          <w:top w:val="single" w:color="000000" w:themeColor="accent5" w:sz="4" w:space="0"/>
        </w:tcBorders>
      </w:tcPr>
    </w:tblStylePr>
  </w:style>
  <w:style w:type="table" w:styleId="834">
    <w:name w:val="Grid Table 4 - Accent 6"/>
    <w:basedOn w:val="947"/>
    <w:uiPriority w:val="59"/>
    <w:pPr>
      <w:spacing w:after="0" w:line="240" w:lineRule="auto"/>
    </w:pPr>
    <w:tblPr>
      <w:tblStyleRowBandSize w:val="1"/>
      <w:tblStyleColBandSize w:val="1"/>
      <w:tblInd w:w="0" w:type="dxa"/>
      <w:tblBorders>
        <w:top w:val="single" w:color="000000" w:themeColor="accent6" w:themeTint="90" w:sz="4" w:space="0"/>
        <w:left w:val="single" w:color="000000" w:themeColor="accent6" w:themeTint="90" w:sz="4" w:space="0"/>
        <w:bottom w:val="single" w:color="000000" w:themeColor="accent6" w:themeTint="90" w:sz="4" w:space="0"/>
        <w:right w:val="single" w:color="000000" w:themeColor="accent6" w:themeTint="90" w:sz="4" w:space="0"/>
        <w:insideH w:val="single" w:color="000000" w:themeColor="accent6" w:themeTint="90" w:sz="4" w:space="0"/>
        <w:insideV w:val="single" w:color="000000" w:themeColor="accent6" w:themeTint="90"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b/>
        <w:color w:val="404040"/>
      </w:rPr>
    </w:tblStylePr>
    <w:tblStylePr w:type="firstRow">
      <w:rPr>
        <w:rFonts w:ascii="Arial" w:hAnsi="Arial"/>
        <w:b/>
        <w:color w:val="ffffff"/>
        <w:sz w:val="22"/>
      </w:rPr>
      <w:tcPr>
        <w:shd w:val="clear" w:color="ffffff" w:themeColor="accent6" w:fill="f79646" w:themeFill="accent6"/>
        <w:tcBorders>
          <w:top w:val="single" w:color="000000" w:themeColor="accent6" w:sz="4" w:space="0"/>
          <w:left w:val="single" w:color="000000" w:themeColor="accent6" w:sz="4" w:space="0"/>
          <w:bottom w:val="single" w:color="000000" w:themeColor="accent6" w:sz="4" w:space="0"/>
          <w:right w:val="single" w:color="000000" w:themeColor="accent6" w:sz="4" w:space="0"/>
        </w:tcBorders>
      </w:tcPr>
    </w:tblStylePr>
    <w:tblStylePr w:type="lastCol">
      <w:rPr>
        <w:b/>
        <w:color w:val="404040"/>
      </w:rPr>
    </w:tblStylePr>
    <w:tblStylePr w:type="lastRow">
      <w:rPr>
        <w:b/>
        <w:color w:val="404040"/>
      </w:rPr>
      <w:tcPr>
        <w:tcBorders>
          <w:top w:val="single" w:color="000000" w:themeColor="accent6" w:sz="4" w:space="0"/>
        </w:tcBorders>
      </w:tcPr>
    </w:tblStylePr>
  </w:style>
  <w:style w:type="table" w:styleId="835">
    <w:name w:val="Grid Table 5 Dark"/>
    <w:basedOn w:val="947"/>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text1" w:themeTint="40" w:fill="bfbfbf" w:themeFill="text1" w:themeFillTint="40"/>
    </w:tblPr>
    <w:tblStylePr w:type="band1Horz">
      <w:tcPr>
        <w:shd w:val="clear" w:color="ffffff" w:themeColor="text1" w:themeTint="75" w:fill="8a8a8a" w:themeFill="text1" w:themeFillTint="75"/>
      </w:tcPr>
    </w:tblStylePr>
    <w:tblStylePr w:type="band1Vert">
      <w:tcPr>
        <w:shd w:val="clear" w:color="ffffff" w:themeColor="text1" w:themeTint="75" w:fill="8a8a8a" w:themeFill="text1" w:themeFillTint="75"/>
      </w:tcPr>
    </w:tblStylePr>
    <w:tblStylePr w:type="firstCol">
      <w:rPr>
        <w:rFonts w:ascii="Arial" w:hAnsi="Arial"/>
        <w:b/>
        <w:color w:val="ffffff"/>
        <w:sz w:val="22"/>
      </w:rPr>
      <w:tcPr>
        <w:shd w:val="clear" w:color="ffffff" w:themeColor="text1" w:fill="000000" w:themeFill="text1"/>
      </w:tcPr>
    </w:tblStylePr>
    <w:tblStylePr w:type="firstRow">
      <w:rPr>
        <w:rFonts w:ascii="Arial" w:hAnsi="Arial"/>
        <w:b/>
        <w:color w:val="ffffff"/>
        <w:sz w:val="22"/>
      </w:rPr>
      <w:tcPr>
        <w:shd w:val="clear" w:color="ffffff" w:themeColor="text1" w:fill="000000" w:themeFill="text1"/>
      </w:tcPr>
    </w:tblStylePr>
    <w:tblStylePr w:type="lastCol">
      <w:rPr>
        <w:rFonts w:ascii="Arial" w:hAnsi="Arial"/>
        <w:b/>
        <w:color w:val="ffffff"/>
        <w:sz w:val="22"/>
      </w:rPr>
      <w:tcPr>
        <w:shd w:val="clear" w:color="ffffff" w:themeColor="text1" w:fill="000000" w:themeFill="text1"/>
      </w:tcPr>
    </w:tblStylePr>
    <w:tblStylePr w:type="lastRow">
      <w:rPr>
        <w:rFonts w:ascii="Arial" w:hAnsi="Arial"/>
        <w:b/>
        <w:color w:val="ffffff"/>
        <w:sz w:val="22"/>
      </w:rPr>
      <w:tcPr>
        <w:shd w:val="clear" w:color="ffffff" w:themeColor="text1" w:fill="000000" w:themeFill="text1"/>
        <w:tcBorders>
          <w:top w:val="single" w:color="000000" w:themeColor="light1" w:sz="4" w:space="0"/>
        </w:tcBorders>
      </w:tcPr>
    </w:tblStylePr>
  </w:style>
  <w:style w:type="table" w:styleId="836">
    <w:name w:val="Grid Table 5 Dark- Accent 1"/>
    <w:basedOn w:val="947"/>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1" w:themeTint="34" w:fill="dae5f1" w:themeFill="accent1" w:themeFillTint="34"/>
    </w:tblPr>
    <w:tblStylePr w:type="band1Horz">
      <w:tcPr>
        <w:shd w:val="clear" w:color="ffffff" w:themeColor="accent1" w:themeTint="75" w:fill="adc5e0" w:themeFill="accent1" w:themeFillTint="75"/>
      </w:tcPr>
    </w:tblStylePr>
    <w:tblStylePr w:type="band1Vert">
      <w:tcPr>
        <w:shd w:val="clear" w:color="ffffff" w:themeColor="accent1" w:themeTint="75" w:fill="adc5e0" w:themeFill="accent1" w:themeFillTint="75"/>
      </w:tcPr>
    </w:tblStylePr>
    <w:tblStylePr w:type="firstCol">
      <w:rPr>
        <w:rFonts w:ascii="Arial" w:hAnsi="Arial"/>
        <w:b/>
        <w:color w:val="ffffff"/>
        <w:sz w:val="22"/>
      </w:rPr>
      <w:tcPr>
        <w:shd w:val="clear" w:color="ffffff" w:themeColor="accent1" w:fill="4f81bd" w:themeFill="accent1"/>
      </w:tcPr>
    </w:tblStylePr>
    <w:tblStylePr w:type="firstRow">
      <w:rPr>
        <w:rFonts w:ascii="Arial" w:hAnsi="Arial"/>
        <w:b/>
        <w:color w:val="ffffff"/>
        <w:sz w:val="22"/>
      </w:rPr>
      <w:tcPr>
        <w:shd w:val="clear" w:color="ffffff" w:themeColor="accent1" w:fill="4f81bd" w:themeFill="accent1"/>
      </w:tcPr>
    </w:tblStylePr>
    <w:tblStylePr w:type="lastCol">
      <w:rPr>
        <w:rFonts w:ascii="Arial" w:hAnsi="Arial"/>
        <w:b/>
        <w:color w:val="ffffff"/>
        <w:sz w:val="22"/>
      </w:rPr>
      <w:tcPr>
        <w:shd w:val="clear" w:color="ffffff" w:themeColor="accent1" w:fill="4f81bd" w:themeFill="accent1"/>
      </w:tcPr>
    </w:tblStylePr>
    <w:tblStylePr w:type="lastRow">
      <w:rPr>
        <w:rFonts w:ascii="Arial" w:hAnsi="Arial"/>
        <w:b/>
        <w:color w:val="ffffff"/>
        <w:sz w:val="22"/>
      </w:rPr>
      <w:tcPr>
        <w:shd w:val="clear" w:color="ffffff" w:themeColor="accent1" w:fill="4f81bd" w:themeFill="accent1"/>
        <w:tcBorders>
          <w:top w:val="single" w:color="000000" w:themeColor="light1" w:sz="4" w:space="0"/>
        </w:tcBorders>
      </w:tcPr>
    </w:tblStylePr>
  </w:style>
  <w:style w:type="table" w:styleId="837">
    <w:name w:val="Grid Table 5 Dark - Accent 2"/>
    <w:basedOn w:val="947"/>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2" w:themeTint="32" w:fill="f2dcdb" w:themeFill="accent2" w:themeFillTint="32"/>
    </w:tblPr>
    <w:tblStylePr w:type="band1Horz">
      <w:tcPr>
        <w:shd w:val="clear" w:color="ffffff" w:themeColor="accent2" w:themeTint="75" w:fill="e1adac" w:themeFill="accent2" w:themeFillTint="75"/>
      </w:tcPr>
    </w:tblStylePr>
    <w:tblStylePr w:type="band1Vert">
      <w:tcPr>
        <w:shd w:val="clear" w:color="ffffff" w:themeColor="accent2" w:themeTint="75" w:fill="e1adac" w:themeFill="accent2" w:themeFillTint="75"/>
      </w:tcPr>
    </w:tblStylePr>
    <w:tblStylePr w:type="firstCol">
      <w:rPr>
        <w:rFonts w:ascii="Arial" w:hAnsi="Arial"/>
        <w:b/>
        <w:color w:val="ffffff"/>
        <w:sz w:val="22"/>
      </w:rPr>
      <w:tcPr>
        <w:shd w:val="clear" w:color="ffffff" w:themeColor="accent2" w:fill="c0504d" w:themeFill="accent2"/>
      </w:tcPr>
    </w:tblStylePr>
    <w:tblStylePr w:type="firstRow">
      <w:rPr>
        <w:rFonts w:ascii="Arial" w:hAnsi="Arial"/>
        <w:b/>
        <w:color w:val="ffffff"/>
        <w:sz w:val="22"/>
      </w:rPr>
      <w:tcPr>
        <w:shd w:val="clear" w:color="ffffff" w:themeColor="accent2" w:fill="c0504d" w:themeFill="accent2"/>
      </w:tcPr>
    </w:tblStylePr>
    <w:tblStylePr w:type="lastCol">
      <w:rPr>
        <w:rFonts w:ascii="Arial" w:hAnsi="Arial"/>
        <w:b/>
        <w:color w:val="ffffff"/>
        <w:sz w:val="22"/>
      </w:rPr>
      <w:tcPr>
        <w:shd w:val="clear" w:color="ffffff" w:themeColor="accent2" w:fill="c0504d" w:themeFill="accent2"/>
      </w:tcPr>
    </w:tblStylePr>
    <w:tblStylePr w:type="lastRow">
      <w:rPr>
        <w:rFonts w:ascii="Arial" w:hAnsi="Arial"/>
        <w:b/>
        <w:color w:val="ffffff"/>
        <w:sz w:val="22"/>
      </w:rPr>
      <w:tcPr>
        <w:shd w:val="clear" w:color="ffffff" w:themeColor="accent2" w:fill="c0504d" w:themeFill="accent2"/>
        <w:tcBorders>
          <w:top w:val="single" w:color="000000" w:themeColor="light1" w:sz="4" w:space="0"/>
        </w:tcBorders>
      </w:tcPr>
    </w:tblStylePr>
  </w:style>
  <w:style w:type="table" w:styleId="838">
    <w:name w:val="Grid Table 5 Dark - Accent 3"/>
    <w:basedOn w:val="947"/>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3" w:themeTint="34" w:fill="eaf0dd" w:themeFill="accent3" w:themeFillTint="34"/>
    </w:tblPr>
    <w:tblStylePr w:type="band1Horz">
      <w:tcPr>
        <w:shd w:val="clear" w:color="ffffff" w:themeColor="accent3" w:themeTint="75" w:fill="d1dfb2" w:themeFill="accent3" w:themeFillTint="75"/>
      </w:tcPr>
    </w:tblStylePr>
    <w:tblStylePr w:type="band1Vert">
      <w:tcPr>
        <w:shd w:val="clear" w:color="ffffff" w:themeColor="accent3" w:themeTint="75" w:fill="d1dfb2" w:themeFill="accent3" w:themeFillTint="75"/>
      </w:tcPr>
    </w:tblStylePr>
    <w:tblStylePr w:type="firstCol">
      <w:rPr>
        <w:rFonts w:ascii="Arial" w:hAnsi="Arial"/>
        <w:b/>
        <w:color w:val="ffffff"/>
        <w:sz w:val="22"/>
      </w:rPr>
      <w:tcPr>
        <w:shd w:val="clear" w:color="ffffff" w:themeColor="accent3" w:fill="9bbb59" w:themeFill="accent3"/>
      </w:tcPr>
    </w:tblStylePr>
    <w:tblStylePr w:type="firstRow">
      <w:rPr>
        <w:rFonts w:ascii="Arial" w:hAnsi="Arial"/>
        <w:b/>
        <w:color w:val="ffffff"/>
        <w:sz w:val="22"/>
      </w:rPr>
      <w:tcPr>
        <w:shd w:val="clear" w:color="ffffff" w:themeColor="accent3" w:fill="9bbb59" w:themeFill="accent3"/>
      </w:tcPr>
    </w:tblStylePr>
    <w:tblStylePr w:type="lastCol">
      <w:rPr>
        <w:rFonts w:ascii="Arial" w:hAnsi="Arial"/>
        <w:b/>
        <w:color w:val="ffffff"/>
        <w:sz w:val="22"/>
      </w:rPr>
      <w:tcPr>
        <w:shd w:val="clear" w:color="ffffff" w:themeColor="accent3" w:fill="9bbb59" w:themeFill="accent3"/>
      </w:tcPr>
    </w:tblStylePr>
    <w:tblStylePr w:type="lastRow">
      <w:rPr>
        <w:rFonts w:ascii="Arial" w:hAnsi="Arial"/>
        <w:b/>
        <w:color w:val="ffffff"/>
        <w:sz w:val="22"/>
      </w:rPr>
      <w:tcPr>
        <w:shd w:val="clear" w:color="ffffff" w:themeColor="accent3" w:fill="9bbb59" w:themeFill="accent3"/>
        <w:tcBorders>
          <w:top w:val="single" w:color="000000" w:themeColor="light1" w:sz="4" w:space="0"/>
        </w:tcBorders>
      </w:tcPr>
    </w:tblStylePr>
  </w:style>
  <w:style w:type="table" w:styleId="839">
    <w:name w:val="Grid Table 5 Dark- Accent 4"/>
    <w:basedOn w:val="947"/>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4" w:themeTint="34" w:fill="e5dfec" w:themeFill="accent4" w:themeFillTint="34"/>
    </w:tblPr>
    <w:tblStylePr w:type="band1Horz">
      <w:tcPr>
        <w:shd w:val="clear" w:color="ffffff" w:themeColor="accent4" w:themeTint="75" w:fill="c4b7d4" w:themeFill="accent4" w:themeFillTint="75"/>
      </w:tcPr>
    </w:tblStylePr>
    <w:tblStylePr w:type="band1Vert">
      <w:tcPr>
        <w:shd w:val="clear" w:color="ffffff" w:themeColor="accent4" w:themeTint="75" w:fill="c4b7d4" w:themeFill="accent4" w:themeFillTint="75"/>
      </w:tcPr>
    </w:tblStylePr>
    <w:tblStylePr w:type="firstCol">
      <w:rPr>
        <w:rFonts w:ascii="Arial" w:hAnsi="Arial"/>
        <w:b/>
        <w:color w:val="ffffff"/>
        <w:sz w:val="22"/>
      </w:rPr>
      <w:tcPr>
        <w:shd w:val="clear" w:color="ffffff" w:themeColor="accent4" w:fill="8064a2" w:themeFill="accent4"/>
      </w:tcPr>
    </w:tblStylePr>
    <w:tblStylePr w:type="firstRow">
      <w:rPr>
        <w:rFonts w:ascii="Arial" w:hAnsi="Arial"/>
        <w:b/>
        <w:color w:val="ffffff"/>
        <w:sz w:val="22"/>
      </w:rPr>
      <w:tcPr>
        <w:shd w:val="clear" w:color="ffffff" w:themeColor="accent4" w:fill="8064a2" w:themeFill="accent4"/>
      </w:tcPr>
    </w:tblStylePr>
    <w:tblStylePr w:type="lastCol">
      <w:rPr>
        <w:rFonts w:ascii="Arial" w:hAnsi="Arial"/>
        <w:b/>
        <w:color w:val="ffffff"/>
        <w:sz w:val="22"/>
      </w:rPr>
      <w:tcPr>
        <w:shd w:val="clear" w:color="ffffff" w:themeColor="accent4" w:fill="8064a2" w:themeFill="accent4"/>
      </w:tcPr>
    </w:tblStylePr>
    <w:tblStylePr w:type="lastRow">
      <w:rPr>
        <w:rFonts w:ascii="Arial" w:hAnsi="Arial"/>
        <w:b/>
        <w:color w:val="ffffff"/>
        <w:sz w:val="22"/>
      </w:rPr>
      <w:tcPr>
        <w:shd w:val="clear" w:color="ffffff" w:themeColor="accent4" w:fill="8064a2" w:themeFill="accent4"/>
        <w:tcBorders>
          <w:top w:val="single" w:color="000000" w:themeColor="light1" w:sz="4" w:space="0"/>
        </w:tcBorders>
      </w:tcPr>
    </w:tblStylePr>
  </w:style>
  <w:style w:type="table" w:styleId="840">
    <w:name w:val="Grid Table 5 Dark - Accent 5"/>
    <w:basedOn w:val="947"/>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5" w:themeTint="34" w:fill="daeef3" w:themeFill="accent5" w:themeFillTint="34"/>
    </w:tblPr>
    <w:tblStylePr w:type="band1Horz">
      <w:tcPr>
        <w:shd w:val="clear" w:color="ffffff" w:themeColor="accent5" w:themeTint="75" w:fill="abd9e4" w:themeFill="accent5" w:themeFillTint="75"/>
      </w:tcPr>
    </w:tblStylePr>
    <w:tblStylePr w:type="band1Vert">
      <w:tcPr>
        <w:shd w:val="clear" w:color="ffffff" w:themeColor="accent5" w:themeTint="75" w:fill="abd9e4" w:themeFill="accent5" w:themeFillTint="75"/>
      </w:tcPr>
    </w:tblStylePr>
    <w:tblStylePr w:type="firstCol">
      <w:rPr>
        <w:rFonts w:ascii="Arial" w:hAnsi="Arial"/>
        <w:b/>
        <w:color w:val="ffffff"/>
        <w:sz w:val="22"/>
      </w:rPr>
      <w:tcPr>
        <w:shd w:val="clear" w:color="ffffff" w:themeColor="accent5" w:fill="4bacc6" w:themeFill="accent5"/>
      </w:tcPr>
    </w:tblStylePr>
    <w:tblStylePr w:type="firstRow">
      <w:rPr>
        <w:rFonts w:ascii="Arial" w:hAnsi="Arial"/>
        <w:b/>
        <w:color w:val="ffffff"/>
        <w:sz w:val="22"/>
      </w:rPr>
      <w:tcPr>
        <w:shd w:val="clear" w:color="ffffff" w:themeColor="accent5" w:fill="4bacc6" w:themeFill="accent5"/>
      </w:tcPr>
    </w:tblStylePr>
    <w:tblStylePr w:type="lastCol">
      <w:rPr>
        <w:rFonts w:ascii="Arial" w:hAnsi="Arial"/>
        <w:b/>
        <w:color w:val="ffffff"/>
        <w:sz w:val="22"/>
      </w:rPr>
      <w:tcPr>
        <w:shd w:val="clear" w:color="ffffff" w:themeColor="accent5" w:fill="4bacc6" w:themeFill="accent5"/>
      </w:tcPr>
    </w:tblStylePr>
    <w:tblStylePr w:type="lastRow">
      <w:rPr>
        <w:rFonts w:ascii="Arial" w:hAnsi="Arial"/>
        <w:b/>
        <w:color w:val="ffffff"/>
        <w:sz w:val="22"/>
      </w:rPr>
      <w:tcPr>
        <w:shd w:val="clear" w:color="ffffff" w:themeColor="accent5" w:fill="4bacc6" w:themeFill="accent5"/>
        <w:tcBorders>
          <w:top w:val="single" w:color="000000" w:themeColor="light1" w:sz="4" w:space="0"/>
        </w:tcBorders>
      </w:tcPr>
    </w:tblStylePr>
  </w:style>
  <w:style w:type="table" w:styleId="841">
    <w:name w:val="Grid Table 5 Dark - Accent 6"/>
    <w:basedOn w:val="947"/>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6" w:themeTint="34" w:fill="fde9d8" w:themeFill="accent6" w:themeFillTint="34"/>
    </w:tblPr>
    <w:tblStylePr w:type="band1Horz">
      <w:tcPr>
        <w:shd w:val="clear" w:color="ffffff" w:themeColor="accent6" w:themeTint="75" w:fill="fbcda8" w:themeFill="accent6" w:themeFillTint="75"/>
      </w:tcPr>
    </w:tblStylePr>
    <w:tblStylePr w:type="band1Vert">
      <w:tcPr>
        <w:shd w:val="clear" w:color="ffffff" w:themeColor="accent6" w:themeTint="75" w:fill="fbcda8" w:themeFill="accent6" w:themeFillTint="75"/>
      </w:tcPr>
    </w:tblStylePr>
    <w:tblStylePr w:type="firstCol">
      <w:rPr>
        <w:rFonts w:ascii="Arial" w:hAnsi="Arial"/>
        <w:b/>
        <w:color w:val="ffffff"/>
        <w:sz w:val="22"/>
      </w:rPr>
      <w:tcPr>
        <w:shd w:val="clear" w:color="ffffff" w:themeColor="accent6" w:fill="f79646" w:themeFill="accent6"/>
      </w:tcPr>
    </w:tblStylePr>
    <w:tblStylePr w:type="firstRow">
      <w:rPr>
        <w:rFonts w:ascii="Arial" w:hAnsi="Arial"/>
        <w:b/>
        <w:color w:val="ffffff"/>
        <w:sz w:val="22"/>
      </w:rPr>
      <w:tcPr>
        <w:shd w:val="clear" w:color="ffffff" w:themeColor="accent6" w:fill="f79646" w:themeFill="accent6"/>
      </w:tcPr>
    </w:tblStylePr>
    <w:tblStylePr w:type="lastCol">
      <w:rPr>
        <w:rFonts w:ascii="Arial" w:hAnsi="Arial"/>
        <w:b/>
        <w:color w:val="ffffff"/>
        <w:sz w:val="22"/>
      </w:rPr>
      <w:tcPr>
        <w:shd w:val="clear" w:color="ffffff" w:themeColor="accent6" w:fill="f79646" w:themeFill="accent6"/>
      </w:tcPr>
    </w:tblStylePr>
    <w:tblStylePr w:type="lastRow">
      <w:rPr>
        <w:rFonts w:ascii="Arial" w:hAnsi="Arial"/>
        <w:b/>
        <w:color w:val="ffffff"/>
        <w:sz w:val="22"/>
      </w:rPr>
      <w:tcPr>
        <w:shd w:val="clear" w:color="ffffff" w:themeColor="accent6" w:fill="f79646" w:themeFill="accent6"/>
        <w:tcBorders>
          <w:top w:val="single" w:color="000000" w:themeColor="light1" w:sz="4" w:space="0"/>
        </w:tcBorders>
      </w:tcPr>
    </w:tblStylePr>
  </w:style>
  <w:style w:type="table" w:styleId="842">
    <w:name w:val="Grid Table 6 Colorful"/>
    <w:basedOn w:val="947"/>
    <w:uiPriority w:val="99"/>
    <w:pPr>
      <w:spacing w:after="0" w:line="240" w:lineRule="auto"/>
    </w:pPr>
    <w:tblPr>
      <w:tblStyleRowBandSize w:val="1"/>
      <w:tblStyleColBandSize w:val="1"/>
      <w:tblInd w:w="0" w:type="dxa"/>
      <w:tblBorders>
        <w:top w:val="single" w:color="000000" w:themeColor="text1" w:themeTint="80" w:sz="4" w:space="0"/>
        <w:left w:val="single" w:color="000000" w:themeColor="text1" w:themeTint="80" w:sz="4" w:space="0"/>
        <w:bottom w:val="single" w:color="000000" w:themeColor="text1" w:themeTint="80" w:sz="4" w:space="0"/>
        <w:right w:val="single" w:color="000000" w:themeColor="text1" w:themeTint="80" w:sz="4" w:space="0"/>
        <w:insideH w:val="single" w:color="000000" w:themeColor="text1" w:themeTint="80" w:sz="4" w:space="0"/>
        <w:insideV w:val="single" w:color="000000" w:themeColor="text1" w:themeTint="80" w:sz="4" w:space="0"/>
      </w:tblBorders>
    </w:tblPr>
    <w:tblStylePr w:type="band1Horz">
      <w:rPr>
        <w:rFonts w:ascii="Arial" w:hAnsi="Arial"/>
        <w:color w:val="404040" w:themeColor="text1" w:themeTint="80" w:themeShade="95"/>
        <w:sz w:val="22"/>
      </w:rPr>
      <w:tcPr>
        <w:shd w:val="clear" w:color="ffffff" w:themeColor="text1" w:themeTint="34" w:fill="cbcbcb" w:themeFill="text1" w:themeFillTint="34"/>
      </w:tcPr>
    </w:tblStylePr>
    <w:tblStylePr w:type="band1Vert">
      <w:tcPr>
        <w:shd w:val="clear" w:color="ffffff" w:themeColor="text1" w:themeTint="34" w:fill="cbcbcb" w:themeFill="text1" w:themeFillTint="34"/>
      </w:tcPr>
    </w:tblStylePr>
    <w:tblStylePr w:type="band2Horz">
      <w:rPr>
        <w:rFonts w:ascii="Arial" w:hAnsi="Arial"/>
        <w:color w:val="404040" w:themeColor="text1" w:themeTint="80" w:themeShade="95"/>
        <w:sz w:val="22"/>
      </w:rPr>
    </w:tblStylePr>
    <w:tblStylePr w:type="firstCol">
      <w:rPr>
        <w:b/>
        <w:color w:val="4a4a4a" w:themeColor="text1" w:themeTint="80" w:themeShade="95"/>
      </w:rPr>
    </w:tblStylePr>
    <w:tblStylePr w:type="firstRow">
      <w:rPr>
        <w:b/>
        <w:color w:val="4a4a4a" w:themeColor="text1" w:themeTint="80" w:themeShade="95"/>
      </w:rPr>
      <w:tcPr>
        <w:tcBorders>
          <w:bottom w:val="single" w:color="000000" w:themeColor="text1" w:themeTint="80" w:sz="12" w:space="0"/>
        </w:tcBorders>
      </w:tcPr>
    </w:tblStylePr>
    <w:tblStylePr w:type="lastCol">
      <w:rPr>
        <w:b/>
        <w:color w:val="4a4a4a" w:themeColor="text1" w:themeTint="80" w:themeShade="95"/>
      </w:rPr>
    </w:tblStylePr>
    <w:tblStylePr w:type="lastRow">
      <w:rPr>
        <w:b/>
        <w:color w:val="4a4a4a" w:themeColor="text1" w:themeTint="80" w:themeShade="95"/>
      </w:rPr>
    </w:tblStylePr>
    <w:tblStylePr w:type="wholeTable">
      <w:rPr>
        <w:rFonts w:ascii="Arial" w:hAnsi="Arial"/>
        <w:color w:val="404040" w:themeColor="text1" w:themeTint="80" w:themeShade="95"/>
        <w:sz w:val="22"/>
      </w:rPr>
    </w:tblStylePr>
  </w:style>
  <w:style w:type="table" w:styleId="843">
    <w:name w:val="Grid Table 6 Colorful - Accent 1"/>
    <w:basedOn w:val="947"/>
    <w:uiPriority w:val="99"/>
    <w:pPr>
      <w:spacing w:after="0" w:line="240" w:lineRule="auto"/>
    </w:pPr>
    <w:tblPr>
      <w:tblStyleRowBandSize w:val="1"/>
      <w:tblStyleColBandSize w:val="1"/>
      <w:tblInd w:w="0" w:type="dxa"/>
      <w:tblBorders>
        <w:top w:val="single" w:color="000000" w:themeColor="accent1" w:themeTint="80" w:sz="4" w:space="0"/>
        <w:left w:val="single" w:color="000000" w:themeColor="accent1" w:themeTint="80" w:sz="4" w:space="0"/>
        <w:bottom w:val="single" w:color="000000" w:themeColor="accent1" w:themeTint="80" w:sz="4" w:space="0"/>
        <w:right w:val="single" w:color="000000" w:themeColor="accent1" w:themeTint="80" w:sz="4" w:space="0"/>
        <w:insideH w:val="single" w:color="000000" w:themeColor="accent1" w:themeTint="80" w:sz="4" w:space="0"/>
        <w:insideV w:val="single" w:color="000000" w:themeColor="accent1" w:themeTint="80" w:sz="4" w:space="0"/>
      </w:tblBorders>
    </w:tblPr>
    <w:tblStylePr w:type="band1Horz">
      <w:rPr>
        <w:rFonts w:ascii="Arial" w:hAnsi="Arial"/>
        <w:color w:val="404040" w:themeColor="accent1" w:themeTint="80" w:themeShade="95"/>
        <w:sz w:val="22"/>
      </w:rPr>
      <w:tcPr>
        <w:shd w:val="clear" w:color="ffffff" w:themeColor="accent1" w:themeTint="34" w:fill="dae5f1" w:themeFill="accent1" w:themeFillTint="34"/>
      </w:tcPr>
    </w:tblStylePr>
    <w:tblStylePr w:type="band1Vert">
      <w:tcPr>
        <w:shd w:val="clear" w:color="ffffff" w:themeColor="accent1" w:themeTint="34" w:fill="dae5f1" w:themeFill="accent1" w:themeFillTint="34"/>
      </w:tcPr>
    </w:tblStylePr>
    <w:tblStylePr w:type="band2Horz">
      <w:rPr>
        <w:rFonts w:ascii="Arial" w:hAnsi="Arial"/>
        <w:color w:val="404040" w:themeColor="accent1" w:themeTint="80" w:themeShade="95"/>
        <w:sz w:val="22"/>
      </w:rPr>
    </w:tblStylePr>
    <w:tblStylePr w:type="firstCol">
      <w:rPr>
        <w:b/>
        <w:color w:val="3e70a3" w:themeColor="accent1" w:themeTint="80" w:themeShade="95"/>
      </w:rPr>
    </w:tblStylePr>
    <w:tblStylePr w:type="firstRow">
      <w:rPr>
        <w:b/>
        <w:color w:val="3e70a3" w:themeColor="accent1" w:themeTint="80" w:themeShade="95"/>
      </w:rPr>
      <w:tcPr>
        <w:tcBorders>
          <w:bottom w:val="single" w:color="000000" w:themeColor="accent1" w:themeTint="80" w:sz="12" w:space="0"/>
        </w:tcBorders>
      </w:tcPr>
    </w:tblStylePr>
    <w:tblStylePr w:type="lastCol">
      <w:rPr>
        <w:b/>
        <w:color w:val="3e70a3" w:themeColor="accent1" w:themeTint="80" w:themeShade="95"/>
      </w:rPr>
    </w:tblStylePr>
    <w:tblStylePr w:type="lastRow">
      <w:rPr>
        <w:b/>
        <w:color w:val="3e70a3" w:themeColor="accent1" w:themeTint="80" w:themeShade="95"/>
      </w:rPr>
    </w:tblStylePr>
    <w:tblStylePr w:type="wholeTable">
      <w:rPr>
        <w:rFonts w:ascii="Arial" w:hAnsi="Arial"/>
        <w:color w:val="404040" w:themeColor="accent1" w:themeTint="80" w:themeShade="95"/>
        <w:sz w:val="22"/>
      </w:rPr>
    </w:tblStylePr>
  </w:style>
  <w:style w:type="table" w:styleId="844">
    <w:name w:val="Grid Table 6 Colorful - Accent 2"/>
    <w:basedOn w:val="947"/>
    <w:uiPriority w:val="99"/>
    <w:pPr>
      <w:spacing w:after="0" w:line="240" w:lineRule="auto"/>
    </w:pPr>
    <w:tblPr>
      <w:tblStyleRowBandSize w:val="1"/>
      <w:tblStyleColBandSize w:val="1"/>
      <w:tblInd w:w="0" w:type="dxa"/>
      <w:tbl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themeColor="accent2" w:themeTint="97" w:themeShade="95"/>
        <w:sz w:val="22"/>
      </w:rPr>
      <w:tcPr>
        <w:shd w:val="clear" w:color="ffffff" w:themeColor="accent2" w:themeTint="32" w:fill="f2dcdb" w:themeFill="accent2" w:themeFillTint="32"/>
      </w:tcPr>
    </w:tblStylePr>
    <w:tblStylePr w:type="band1Vert">
      <w:tcPr>
        <w:shd w:val="clear" w:color="ffffff" w:themeColor="accent2" w:themeTint="32" w:fill="f2dcdb" w:themeFill="accent2" w:themeFillTint="32"/>
      </w:tcPr>
    </w:tblStylePr>
    <w:tblStylePr w:type="band2Horz">
      <w:rPr>
        <w:rFonts w:ascii="Arial" w:hAnsi="Arial"/>
        <w:color w:val="404040" w:themeColor="accent2" w:themeTint="97" w:themeShade="95"/>
        <w:sz w:val="22"/>
      </w:rPr>
    </w:tblStylePr>
    <w:tblStylePr w:type="firstCol">
      <w:rPr>
        <w:b/>
        <w:color w:val="9c3a37" w:themeColor="accent2" w:themeTint="97" w:themeShade="95"/>
      </w:rPr>
    </w:tblStylePr>
    <w:tblStylePr w:type="firstRow">
      <w:rPr>
        <w:b/>
        <w:color w:val="9c3a37" w:themeColor="accent2" w:themeTint="97" w:themeShade="95"/>
      </w:rPr>
      <w:tcPr>
        <w:tcBorders>
          <w:bottom w:val="single" w:color="000000" w:themeColor="accent2" w:themeTint="97" w:sz="12" w:space="0"/>
        </w:tcBorders>
      </w:tcPr>
    </w:tblStylePr>
    <w:tblStylePr w:type="lastCol">
      <w:rPr>
        <w:b/>
        <w:color w:val="9c3a37" w:themeColor="accent2" w:themeTint="97" w:themeShade="95"/>
      </w:rPr>
    </w:tblStylePr>
    <w:tblStylePr w:type="lastRow">
      <w:rPr>
        <w:b/>
        <w:color w:val="9c3a37" w:themeColor="accent2" w:themeTint="97" w:themeShade="95"/>
      </w:rPr>
    </w:tblStylePr>
    <w:tblStylePr w:type="wholeTable">
      <w:rPr>
        <w:rFonts w:ascii="Arial" w:hAnsi="Arial"/>
        <w:color w:val="404040" w:themeColor="accent2" w:themeTint="97" w:themeShade="95"/>
        <w:sz w:val="22"/>
      </w:rPr>
    </w:tblStylePr>
  </w:style>
  <w:style w:type="table" w:styleId="845">
    <w:name w:val="Grid Table 6 Colorful - Accent 3"/>
    <w:basedOn w:val="947"/>
    <w:uiPriority w:val="99"/>
    <w:pPr>
      <w:spacing w:after="0" w:line="240" w:lineRule="auto"/>
    </w:pPr>
    <w:tblPr>
      <w:tblStyleRowBandSize w:val="1"/>
      <w:tblStyleColBandSize w:val="1"/>
      <w:tblInd w:w="0" w:type="dxa"/>
      <w:tblBorders>
        <w:top w:val="single" w:color="000000" w:themeColor="accent3" w:themeTint="FE" w:sz="4" w:space="0"/>
        <w:left w:val="single" w:color="000000" w:themeColor="accent3" w:themeTint="FE" w:sz="4" w:space="0"/>
        <w:bottom w:val="single" w:color="000000" w:themeColor="accent3" w:themeTint="FE" w:sz="4" w:space="0"/>
        <w:right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themeColor="accent3" w:themeTint="FE" w:themeShade="95"/>
        <w:sz w:val="22"/>
      </w:rPr>
      <w:tcPr>
        <w:shd w:val="clear" w:color="ffffff" w:themeColor="accent3" w:themeTint="34" w:fill="eaf0dd" w:themeFill="accent3" w:themeFillTint="34"/>
      </w:tcPr>
    </w:tblStylePr>
    <w:tblStylePr w:type="band1Vert">
      <w:tcPr>
        <w:shd w:val="clear" w:color="ffffff" w:themeColor="accent3" w:themeTint="34" w:fill="eaf0dd" w:themeFill="accent3" w:themeFillTint="34"/>
      </w:tcPr>
    </w:tblStylePr>
    <w:tblStylePr w:type="band2Horz">
      <w:rPr>
        <w:rFonts w:ascii="Arial" w:hAnsi="Arial"/>
        <w:color w:val="404040" w:themeColor="accent3" w:themeTint="FE" w:themeShade="95"/>
        <w:sz w:val="22"/>
      </w:rPr>
    </w:tblStylePr>
    <w:tblStylePr w:type="firstCol">
      <w:rPr>
        <w:b/>
        <w:color w:val="5c702f" w:themeColor="accent3" w:themeTint="FE" w:themeShade="95"/>
      </w:rPr>
    </w:tblStylePr>
    <w:tblStylePr w:type="firstRow">
      <w:rPr>
        <w:b/>
        <w:color w:val="5c702f" w:themeColor="accent3" w:themeTint="FE" w:themeShade="95"/>
      </w:rPr>
      <w:tcPr>
        <w:tcBorders>
          <w:bottom w:val="single" w:color="000000" w:themeColor="accent3" w:themeTint="FE" w:sz="12" w:space="0"/>
        </w:tcBorders>
      </w:tcPr>
    </w:tblStylePr>
    <w:tblStylePr w:type="lastCol">
      <w:rPr>
        <w:b/>
        <w:color w:val="5c702f" w:themeColor="accent3" w:themeTint="FE" w:themeShade="95"/>
      </w:rPr>
    </w:tblStylePr>
    <w:tblStylePr w:type="lastRow">
      <w:rPr>
        <w:b/>
        <w:color w:val="5c702f" w:themeColor="accent3" w:themeTint="FE" w:themeShade="95"/>
      </w:rPr>
    </w:tblStylePr>
    <w:tblStylePr w:type="wholeTable">
      <w:rPr>
        <w:rFonts w:ascii="Arial" w:hAnsi="Arial"/>
        <w:color w:val="404040" w:themeColor="accent3" w:themeTint="FE" w:themeShade="95"/>
        <w:sz w:val="22"/>
      </w:rPr>
    </w:tblStylePr>
  </w:style>
  <w:style w:type="table" w:styleId="846">
    <w:name w:val="Grid Table 6 Colorful - Accent 4"/>
    <w:basedOn w:val="947"/>
    <w:uiPriority w:val="99"/>
    <w:pPr>
      <w:spacing w:after="0" w:line="240" w:lineRule="auto"/>
    </w:pPr>
    <w:tblPr>
      <w:tblStyleRowBandSize w:val="1"/>
      <w:tblStyleColBandSize w:val="1"/>
      <w:tblInd w:w="0" w:type="dxa"/>
      <w:tbl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themeColor="accent4" w:themeTint="9A" w:themeShade="95"/>
        <w:sz w:val="22"/>
      </w:rPr>
      <w:tcPr>
        <w:shd w:val="clear" w:color="ffffff" w:themeColor="accent4" w:themeTint="34" w:fill="e5dfec" w:themeFill="accent4" w:themeFillTint="34"/>
      </w:tcPr>
    </w:tblStylePr>
    <w:tblStylePr w:type="band1Vert">
      <w:tcPr>
        <w:shd w:val="clear" w:color="ffffff" w:themeColor="accent4" w:themeTint="34" w:fill="e5dfec" w:themeFill="accent4" w:themeFillTint="34"/>
      </w:tcPr>
    </w:tblStylePr>
    <w:tblStylePr w:type="band2Horz">
      <w:rPr>
        <w:rFonts w:ascii="Arial" w:hAnsi="Arial"/>
        <w:color w:val="404040" w:themeColor="accent4" w:themeTint="9A" w:themeShade="95"/>
        <w:sz w:val="22"/>
      </w:rPr>
    </w:tblStylePr>
    <w:tblStylePr w:type="firstCol">
      <w:rPr>
        <w:b/>
        <w:color w:val="664f82" w:themeColor="accent4" w:themeTint="9A" w:themeShade="95"/>
      </w:rPr>
    </w:tblStylePr>
    <w:tblStylePr w:type="firstRow">
      <w:rPr>
        <w:b/>
        <w:color w:val="664f82" w:themeColor="accent4" w:themeTint="9A" w:themeShade="95"/>
      </w:rPr>
      <w:tcPr>
        <w:tcBorders>
          <w:bottom w:val="single" w:color="000000" w:themeColor="accent4" w:themeTint="9A" w:sz="12" w:space="0"/>
        </w:tcBorders>
      </w:tcPr>
    </w:tblStylePr>
    <w:tblStylePr w:type="lastCol">
      <w:rPr>
        <w:b/>
        <w:color w:val="664f82" w:themeColor="accent4" w:themeTint="9A" w:themeShade="95"/>
      </w:rPr>
    </w:tblStylePr>
    <w:tblStylePr w:type="lastRow">
      <w:rPr>
        <w:b/>
        <w:color w:val="664f82" w:themeColor="accent4" w:themeTint="9A" w:themeShade="95"/>
      </w:rPr>
    </w:tblStylePr>
    <w:tblStylePr w:type="wholeTable">
      <w:rPr>
        <w:rFonts w:ascii="Arial" w:hAnsi="Arial"/>
        <w:color w:val="404040" w:themeColor="accent4" w:themeTint="9A" w:themeShade="95"/>
        <w:sz w:val="22"/>
      </w:rPr>
    </w:tblStylePr>
  </w:style>
  <w:style w:type="table" w:styleId="847">
    <w:name w:val="Grid Table 6 Colorful - Accent 5"/>
    <w:basedOn w:val="947"/>
    <w:uiPriority w:val="99"/>
    <w:pPr>
      <w:spacing w:after="0" w:line="240" w:lineRule="auto"/>
    </w:pPr>
    <w:tblPr>
      <w:tblStyleRowBandSize w:val="1"/>
      <w:tblStyleColBandSize w:val="1"/>
      <w:tblInd w:w="0" w:type="dxa"/>
      <w:tblBorders>
        <w:top w:val="single" w:color="000000" w:themeColor="accent5" w:sz="4" w:space="0"/>
        <w:left w:val="single" w:color="000000" w:themeColor="accent5" w:sz="4" w:space="0"/>
        <w:bottom w:val="single" w:color="000000" w:themeColor="accent5" w:sz="4" w:space="0"/>
        <w:right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themeColor="accent5" w:themeShade="95"/>
        <w:sz w:val="22"/>
      </w:rPr>
      <w:tcPr>
        <w:shd w:val="clear" w:color="ffffff" w:themeColor="accent5" w:themeTint="34" w:fill="daeef3" w:themeFill="accent5" w:themeFillTint="34"/>
      </w:tcPr>
    </w:tblStylePr>
    <w:tblStylePr w:type="band1Vert">
      <w:tcPr>
        <w:shd w:val="clear" w:color="ffffff" w:themeColor="accent5" w:themeTint="34" w:fill="daeef3" w:themeFill="accent5" w:themeFillTint="34"/>
      </w:tcPr>
    </w:tblStylePr>
    <w:tblStylePr w:type="band2Horz">
      <w:rPr>
        <w:rFonts w:ascii="Arial" w:hAnsi="Arial"/>
        <w:color w:val="404040" w:themeColor="accent5" w:themeShade="95"/>
        <w:sz w:val="22"/>
      </w:rPr>
    </w:tblStylePr>
    <w:tblStylePr w:type="firstCol">
      <w:rPr>
        <w:b/>
        <w:color w:val="266777" w:themeColor="accent5" w:themeShade="95"/>
      </w:rPr>
    </w:tblStylePr>
    <w:tblStylePr w:type="firstRow">
      <w:rPr>
        <w:b/>
        <w:color w:val="266777" w:themeColor="accent5" w:themeShade="95"/>
      </w:rPr>
      <w:tcPr>
        <w:tcBorders>
          <w:bottom w:val="single" w:color="000000" w:themeColor="accent5" w:sz="12" w:space="0"/>
        </w:tcBorders>
      </w:tcPr>
    </w:tblStylePr>
    <w:tblStylePr w:type="lastCol">
      <w:rPr>
        <w:b/>
        <w:color w:val="266777" w:themeColor="accent5" w:themeShade="95"/>
      </w:rPr>
    </w:tblStylePr>
    <w:tblStylePr w:type="lastRow">
      <w:rPr>
        <w:b/>
        <w:color w:val="266777" w:themeColor="accent5" w:themeShade="95"/>
      </w:rPr>
    </w:tblStylePr>
    <w:tblStylePr w:type="wholeTable">
      <w:rPr>
        <w:rFonts w:ascii="Arial" w:hAnsi="Arial"/>
        <w:color w:val="404040" w:themeColor="accent5" w:themeShade="95"/>
        <w:sz w:val="22"/>
      </w:rPr>
    </w:tblStylePr>
  </w:style>
  <w:style w:type="table" w:styleId="848">
    <w:name w:val="Grid Table 6 Colorful - Accent 6"/>
    <w:basedOn w:val="947"/>
    <w:uiPriority w:val="99"/>
    <w:pPr>
      <w:spacing w:after="0" w:line="240" w:lineRule="auto"/>
    </w:pPr>
    <w:tblPr>
      <w:tblStyleRowBandSize w:val="1"/>
      <w:tblStyleColBandSize w:val="1"/>
      <w:tblInd w:w="0" w:type="dxa"/>
      <w:tblBorders>
        <w:top w:val="single" w:color="000000" w:themeColor="accent6" w:sz="4" w:space="0"/>
        <w:left w:val="single" w:color="000000" w:themeColor="accent6" w:sz="4" w:space="0"/>
        <w:bottom w:val="single" w:color="000000" w:themeColor="accent6" w:sz="4" w:space="0"/>
        <w:right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themeColor="accent5" w:themeShade="95"/>
        <w:sz w:val="22"/>
      </w:rPr>
      <w:tcPr>
        <w:shd w:val="clear" w:color="ffffff" w:themeColor="accent6" w:themeTint="34" w:fill="fde9d8" w:themeFill="accent6" w:themeFillTint="34"/>
      </w:tcPr>
    </w:tblStylePr>
    <w:tblStylePr w:type="band1Vert">
      <w:tcPr>
        <w:shd w:val="clear" w:color="ffffff" w:themeColor="accent6" w:themeTint="34" w:fill="fde9d8" w:themeFill="accent6" w:themeFillTint="34"/>
      </w:tcPr>
    </w:tblStylePr>
    <w:tblStylePr w:type="band2Horz">
      <w:rPr>
        <w:rFonts w:ascii="Arial" w:hAnsi="Arial"/>
        <w:color w:val="404040" w:themeColor="accent5" w:themeShade="95"/>
        <w:sz w:val="22"/>
      </w:rPr>
    </w:tblStylePr>
    <w:tblStylePr w:type="firstCol">
      <w:rPr>
        <w:b/>
        <w:color w:val="266777" w:themeColor="accent5" w:themeShade="95"/>
      </w:rPr>
    </w:tblStylePr>
    <w:tblStylePr w:type="firstRow">
      <w:rPr>
        <w:b/>
        <w:color w:val="266777" w:themeColor="accent5" w:themeShade="95"/>
      </w:rPr>
      <w:tcPr>
        <w:tcBorders>
          <w:bottom w:val="single" w:color="000000" w:themeColor="accent6" w:sz="12" w:space="0"/>
        </w:tcBorders>
      </w:tcPr>
    </w:tblStylePr>
    <w:tblStylePr w:type="lastCol">
      <w:rPr>
        <w:b/>
        <w:color w:val="266777" w:themeColor="accent5" w:themeShade="95"/>
      </w:rPr>
    </w:tblStylePr>
    <w:tblStylePr w:type="lastRow">
      <w:rPr>
        <w:b/>
        <w:color w:val="266777" w:themeColor="accent5" w:themeShade="95"/>
      </w:rPr>
    </w:tblStylePr>
    <w:tblStylePr w:type="wholeTable">
      <w:rPr>
        <w:rFonts w:ascii="Arial" w:hAnsi="Arial"/>
        <w:color w:val="404040" w:themeColor="accent5" w:themeShade="95"/>
        <w:sz w:val="22"/>
      </w:rPr>
    </w:tblStylePr>
  </w:style>
  <w:style w:type="table" w:styleId="849">
    <w:name w:val="Grid Table 7 Colorful"/>
    <w:basedOn w:val="947"/>
    <w:uiPriority w:val="99"/>
    <w:pPr>
      <w:spacing w:after="0" w:line="240" w:lineRule="auto"/>
    </w:pPr>
    <w:tblPr>
      <w:tblStyleRowBandSize w:val="1"/>
      <w:tblStyleColBandSize w:val="1"/>
      <w:tblInd w:w="0" w:type="dxa"/>
      <w:tblBorders>
        <w:bottom w:val="single" w:color="000000" w:themeColor="text1" w:themeTint="80" w:sz="4" w:space="0"/>
        <w:right w:val="single" w:color="000000" w:themeColor="text1" w:themeTint="80" w:sz="4" w:space="0"/>
        <w:insideH w:val="single" w:color="000000" w:themeColor="text1" w:themeTint="80" w:sz="4" w:space="0"/>
        <w:insideV w:val="single" w:color="000000" w:themeColor="text1" w:themeTint="80" w:sz="4" w:space="0"/>
      </w:tblBorders>
    </w:tblPr>
    <w:tblStylePr w:type="band1Horz">
      <w:rPr>
        <w:rFonts w:ascii="Arial" w:hAnsi="Arial"/>
        <w:color w:val="4a4a4a" w:themeColor="text1" w:themeTint="80" w:themeShade="95"/>
        <w:sz w:val="22"/>
      </w:rPr>
      <w:tcPr>
        <w:shd w:val="clear" w:color="ffffff" w:themeColor="text1" w:themeTint="0D" w:fill="f2f2f2" w:themeFill="text1" w:themeFillTint="0D"/>
      </w:tcPr>
    </w:tblStylePr>
    <w:tblStylePr w:type="band1Vert">
      <w:tcPr>
        <w:shd w:val="clear" w:color="ffffff" w:themeColor="text1" w:themeTint="0D" w:fill="f2f2f2" w:themeFill="text1" w:themeFillTint="0D"/>
      </w:tcPr>
    </w:tblStylePr>
    <w:tblStylePr w:type="band2Horz">
      <w:rPr>
        <w:rFonts w:ascii="Arial" w:hAnsi="Arial"/>
        <w:color w:val="4a4a4a" w:themeColor="text1" w:themeTint="80" w:themeShade="95"/>
        <w:sz w:val="22"/>
      </w:rPr>
    </w:tblStylePr>
    <w:tblStylePr w:type="firstCol">
      <w:rPr>
        <w:rFonts w:ascii="Arial" w:hAnsi="Arial"/>
        <w:i/>
        <w:color w:val="4a4a4a" w:themeColor="tex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text1" w:themeTint="80" w:sz="4" w:space="0"/>
        </w:tcBorders>
      </w:tcPr>
    </w:tblStylePr>
    <w:tblStylePr w:type="firstRow">
      <w:rPr>
        <w:rFonts w:ascii="Arial" w:hAnsi="Arial"/>
        <w:b/>
        <w:color w:val="4a4a4a" w:themeColor="text1" w:themeTint="80" w:themeShade="95"/>
        <w:sz w:val="22"/>
      </w:rPr>
      <w:tcPr>
        <w:shd w:val="clear" w:color="ffffff" w:themeColor="light1" w:fill="ffffff" w:themeFill="light1"/>
        <w:tcBorders>
          <w:top w:val="none" w:color="000000" w:sz="4" w:space="0"/>
          <w:left w:val="none" w:color="000000" w:sz="4" w:space="0"/>
          <w:bottom w:val="single" w:color="000000" w:themeColor="text1" w:themeTint="80" w:sz="4" w:space="0"/>
          <w:right w:val="none" w:color="000000" w:sz="4" w:space="0"/>
        </w:tcBorders>
      </w:tcPr>
    </w:tblStylePr>
    <w:tblStylePr w:type="lastCol">
      <w:rPr>
        <w:rFonts w:ascii="Arial" w:hAnsi="Arial"/>
        <w:i/>
        <w:color w:val="4a4a4a" w:themeColor="text1" w:themeTint="80" w:themeShade="95"/>
        <w:sz w:val="22"/>
      </w:rPr>
      <w:tcPr>
        <w:shd w:val="clear" w:color="ffffff"/>
        <w:tcBorders>
          <w:top w:val="none" w:color="000000" w:sz="4" w:space="0"/>
          <w:left w:val="single" w:color="000000" w:themeColor="text1" w:themeTint="80" w:sz="4" w:space="0"/>
          <w:bottom w:val="none" w:color="000000" w:sz="4" w:space="0"/>
          <w:right w:val="none" w:color="000000" w:sz="4" w:space="0"/>
        </w:tcBorders>
      </w:tcPr>
    </w:tblStylePr>
    <w:tblStylePr w:type="lastRow">
      <w:rPr>
        <w:rFonts w:ascii="Arial" w:hAnsi="Arial"/>
        <w:b/>
        <w:color w:val="4a4a4a" w:themeColor="text1" w:themeTint="80" w:themeShade="95"/>
        <w:sz w:val="22"/>
      </w:rPr>
      <w:tcPr>
        <w:shd w:val="clear" w:color="ffffff" w:themeColor="light1" w:fill="ffffff" w:themeFill="light1"/>
        <w:tcBorders>
          <w:top w:val="single" w:color="000000" w:themeColor="text1" w:themeTint="80" w:sz="4" w:space="0"/>
          <w:left w:val="none" w:color="000000" w:sz="4" w:space="0"/>
          <w:bottom w:val="none" w:color="000000" w:sz="4" w:space="0"/>
          <w:right w:val="none" w:color="000000" w:sz="4" w:space="0"/>
        </w:tcBorders>
      </w:tcPr>
    </w:tblStylePr>
  </w:style>
  <w:style w:type="table" w:styleId="850">
    <w:name w:val="Grid Table 7 Colorful - Accent 1"/>
    <w:basedOn w:val="947"/>
    <w:uiPriority w:val="99"/>
    <w:pPr>
      <w:spacing w:after="0" w:line="240" w:lineRule="auto"/>
    </w:pPr>
    <w:tblPr>
      <w:tblStyleRowBandSize w:val="1"/>
      <w:tblStyleColBandSize w:val="1"/>
      <w:tblInd w:w="0" w:type="dxa"/>
      <w:tblBorders>
        <w:bottom w:val="single" w:color="000000" w:themeColor="accent1" w:themeTint="80" w:sz="4" w:space="0"/>
        <w:right w:val="single" w:color="000000" w:themeColor="accent1" w:themeTint="80" w:sz="4" w:space="0"/>
        <w:insideH w:val="single" w:color="000000" w:themeColor="accent1" w:themeTint="80" w:sz="4" w:space="0"/>
        <w:insideV w:val="single" w:color="000000" w:themeColor="accent1" w:themeTint="80" w:sz="4" w:space="0"/>
      </w:tblBorders>
    </w:tblPr>
    <w:tblStylePr w:type="band1Horz">
      <w:rPr>
        <w:rFonts w:ascii="Arial" w:hAnsi="Arial"/>
        <w:color w:val="3e70a3" w:themeColor="accent1" w:themeTint="80" w:themeShade="95"/>
        <w:sz w:val="22"/>
      </w:rPr>
      <w:tcPr>
        <w:shd w:val="clear" w:color="ffffff" w:themeColor="accent1" w:themeTint="34" w:fill="dae5f1" w:themeFill="accent1" w:themeFillTint="34"/>
      </w:tcPr>
    </w:tblStylePr>
    <w:tblStylePr w:type="band1Vert">
      <w:tcPr>
        <w:shd w:val="clear" w:color="ffffff" w:themeColor="accent1" w:themeTint="34" w:fill="dae5f1" w:themeFill="accent1" w:themeFillTint="34"/>
      </w:tcPr>
    </w:tblStylePr>
    <w:tblStylePr w:type="band2Horz">
      <w:rPr>
        <w:rFonts w:ascii="Arial" w:hAnsi="Arial"/>
        <w:color w:val="3e70a3" w:themeColor="accent1" w:themeTint="80" w:themeShade="95"/>
        <w:sz w:val="22"/>
      </w:rPr>
    </w:tblStylePr>
    <w:tblStylePr w:type="firstCol">
      <w:rPr>
        <w:rFonts w:ascii="Arial" w:hAnsi="Arial"/>
        <w:i/>
        <w:color w:val="3e70a3" w:themeColor="accen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accent1" w:themeTint="80" w:sz="4" w:space="0"/>
        </w:tcBorders>
      </w:tcPr>
    </w:tblStylePr>
    <w:tblStylePr w:type="firstRow">
      <w:rPr>
        <w:rFonts w:ascii="Arial" w:hAnsi="Arial"/>
        <w:b/>
        <w:color w:val="3e70a3" w:themeColor="accent1" w:themeTint="80" w:themeShade="95"/>
        <w:sz w:val="22"/>
      </w:rPr>
      <w:tcPr>
        <w:shd w:val="clear" w:color="ffffff" w:themeColor="light1" w:fill="ffffff" w:themeFill="light1"/>
        <w:tcBorders>
          <w:top w:val="none" w:color="000000" w:sz="4" w:space="0"/>
          <w:left w:val="none" w:color="000000" w:sz="4" w:space="0"/>
          <w:bottom w:val="single" w:color="000000" w:themeColor="accent1" w:themeTint="80" w:sz="4" w:space="0"/>
          <w:right w:val="none" w:color="000000" w:sz="4" w:space="0"/>
        </w:tcBorders>
      </w:tcPr>
    </w:tblStylePr>
    <w:tblStylePr w:type="lastCol">
      <w:rPr>
        <w:rFonts w:ascii="Arial" w:hAnsi="Arial"/>
        <w:i/>
        <w:color w:val="3e70a3" w:themeColor="accent1" w:themeTint="80" w:themeShade="95"/>
        <w:sz w:val="22"/>
      </w:rPr>
      <w:tcPr>
        <w:shd w:val="clear" w:color="ffffff"/>
        <w:tcBorders>
          <w:top w:val="none" w:color="000000" w:sz="4" w:space="0"/>
          <w:left w:val="single" w:color="000000" w:themeColor="accent1" w:themeTint="80" w:sz="4" w:space="0"/>
          <w:bottom w:val="none" w:color="000000" w:sz="4" w:space="0"/>
          <w:right w:val="none" w:color="000000" w:sz="4" w:space="0"/>
        </w:tcBorders>
      </w:tcPr>
    </w:tblStylePr>
    <w:tblStylePr w:type="lastRow">
      <w:rPr>
        <w:rFonts w:ascii="Arial" w:hAnsi="Arial"/>
        <w:b/>
        <w:color w:val="3e70a3" w:themeColor="accent1" w:themeTint="80" w:themeShade="95"/>
        <w:sz w:val="22"/>
      </w:rPr>
      <w:tcPr>
        <w:shd w:val="clear" w:color="ffffff" w:themeColor="light1" w:fill="ffffff" w:themeFill="light1"/>
        <w:tcBorders>
          <w:top w:val="single" w:color="000000" w:themeColor="accent1" w:themeTint="80" w:sz="4" w:space="0"/>
          <w:left w:val="none" w:color="000000" w:sz="4" w:space="0"/>
          <w:bottom w:val="none" w:color="000000" w:sz="4" w:space="0"/>
          <w:right w:val="none" w:color="000000" w:sz="4" w:space="0"/>
        </w:tcBorders>
      </w:tcPr>
    </w:tblStylePr>
  </w:style>
  <w:style w:type="table" w:styleId="851">
    <w:name w:val="Grid Table 7 Colorful - Accent 2"/>
    <w:basedOn w:val="947"/>
    <w:uiPriority w:val="99"/>
    <w:pPr>
      <w:spacing w:after="0" w:line="240" w:lineRule="auto"/>
    </w:pPr>
    <w:tblPr>
      <w:tblStyleRowBandSize w:val="1"/>
      <w:tblStyleColBandSize w:val="1"/>
      <w:tblInd w:w="0" w:type="dxa"/>
      <w:tblBorders>
        <w:bottom w:val="single" w:color="000000" w:themeColor="accent2" w:themeTint="97" w:sz="4" w:space="0"/>
        <w:right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9c3a37" w:themeColor="accent2" w:themeTint="97" w:themeShade="95"/>
        <w:sz w:val="22"/>
      </w:rPr>
      <w:tcPr>
        <w:shd w:val="clear" w:color="ffffff" w:themeColor="accent2" w:themeTint="32" w:fill="f2dcdb" w:themeFill="accent2" w:themeFillTint="32"/>
      </w:tcPr>
    </w:tblStylePr>
    <w:tblStylePr w:type="band1Vert">
      <w:tcPr>
        <w:shd w:val="clear" w:color="ffffff" w:themeColor="accent2" w:themeTint="32" w:fill="f2dcdb" w:themeFill="accent2" w:themeFillTint="32"/>
      </w:tcPr>
    </w:tblStylePr>
    <w:tblStylePr w:type="band2Horz">
      <w:rPr>
        <w:rFonts w:ascii="Arial" w:hAnsi="Arial"/>
        <w:color w:val="9c3a37" w:themeColor="accent2" w:themeTint="97" w:themeShade="95"/>
        <w:sz w:val="22"/>
      </w:rPr>
    </w:tblStylePr>
    <w:tblStylePr w:type="firstCol">
      <w:rPr>
        <w:rFonts w:ascii="Arial" w:hAnsi="Arial"/>
        <w:i/>
        <w:color w:val="9c3a37" w:themeColor="accent2" w:themeTint="97" w:themeShade="95"/>
        <w:sz w:val="22"/>
      </w:rPr>
      <w:pPr>
        <w:jc w:val="right"/>
      </w:pPr>
      <w:tcPr>
        <w:shd w:val="clear" w:color="ffffff"/>
        <w:tcBorders>
          <w:top w:val="none" w:color="000000" w:sz="4" w:space="0"/>
          <w:left w:val="none" w:color="000000" w:sz="4" w:space="0"/>
          <w:bottom w:val="none" w:color="000000" w:sz="4" w:space="0"/>
          <w:right w:val="single" w:color="000000" w:themeColor="accent2" w:themeTint="97" w:sz="4" w:space="0"/>
        </w:tcBorders>
      </w:tcPr>
    </w:tblStylePr>
    <w:tblStylePr w:type="firstRow">
      <w:rPr>
        <w:rFonts w:ascii="Arial" w:hAnsi="Arial"/>
        <w:b/>
        <w:color w:val="9c3a37" w:themeColor="accent2" w:themeTint="97" w:themeShade="95"/>
        <w:sz w:val="22"/>
      </w:rPr>
      <w:tcPr>
        <w:shd w:val="clear" w:color="ffffff" w:themeColor="light1" w:fill="ffffff" w:themeFill="light1"/>
        <w:tcBorders>
          <w:top w:val="none" w:color="000000" w:sz="4" w:space="0"/>
          <w:left w:val="none" w:color="000000" w:sz="4" w:space="0"/>
          <w:bottom w:val="single" w:color="000000" w:themeColor="accent2" w:themeTint="97" w:sz="4" w:space="0"/>
          <w:right w:val="none" w:color="000000" w:sz="4" w:space="0"/>
        </w:tcBorders>
      </w:tcPr>
    </w:tblStylePr>
    <w:tblStylePr w:type="lastCol">
      <w:rPr>
        <w:rFonts w:ascii="Arial" w:hAnsi="Arial"/>
        <w:i/>
        <w:color w:val="9c3a37" w:themeColor="accent2" w:themeTint="97" w:themeShade="95"/>
        <w:sz w:val="22"/>
      </w:rPr>
      <w:tcPr>
        <w:shd w:val="clear" w:color="ffffff"/>
        <w:tcBorders>
          <w:top w:val="none" w:color="000000" w:sz="4" w:space="0"/>
          <w:left w:val="single" w:color="000000" w:themeColor="accent2" w:themeTint="97" w:sz="4" w:space="0"/>
          <w:bottom w:val="none" w:color="000000" w:sz="4" w:space="0"/>
          <w:right w:val="none" w:color="000000" w:sz="4" w:space="0"/>
        </w:tcBorders>
      </w:tcPr>
    </w:tblStylePr>
    <w:tblStylePr w:type="lastRow">
      <w:rPr>
        <w:rFonts w:ascii="Arial" w:hAnsi="Arial"/>
        <w:b/>
        <w:color w:val="9c3a37" w:themeColor="accent2" w:themeTint="97" w:themeShade="95"/>
        <w:sz w:val="22"/>
      </w:rPr>
      <w:tcPr>
        <w:shd w:val="clear" w:color="ffffff" w:themeColor="light1" w:fill="ffffff" w:themeFill="light1"/>
        <w:tcBorders>
          <w:top w:val="single" w:color="000000" w:themeColor="accent2" w:themeTint="97" w:sz="4" w:space="0"/>
          <w:left w:val="none" w:color="000000" w:sz="4" w:space="0"/>
          <w:bottom w:val="none" w:color="000000" w:sz="4" w:space="0"/>
          <w:right w:val="none" w:color="000000" w:sz="4" w:space="0"/>
        </w:tcBorders>
      </w:tcPr>
    </w:tblStylePr>
  </w:style>
  <w:style w:type="table" w:styleId="852">
    <w:name w:val="Grid Table 7 Colorful - Accent 3"/>
    <w:basedOn w:val="947"/>
    <w:uiPriority w:val="99"/>
    <w:pPr>
      <w:spacing w:after="0" w:line="240" w:lineRule="auto"/>
    </w:pPr>
    <w:tblPr>
      <w:tblStyleRowBandSize w:val="1"/>
      <w:tblStyleColBandSize w:val="1"/>
      <w:tblInd w:w="0" w:type="dxa"/>
      <w:tblBorders>
        <w:bottom w:val="single" w:color="000000" w:themeColor="accent3" w:themeTint="FE" w:sz="4" w:space="0"/>
        <w:right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5c702f" w:themeColor="accent3" w:themeTint="FE" w:themeShade="95"/>
        <w:sz w:val="22"/>
      </w:rPr>
      <w:tcPr>
        <w:shd w:val="clear" w:color="ffffff" w:themeColor="accent3" w:themeTint="34" w:fill="eaf0dd" w:themeFill="accent3" w:themeFillTint="34"/>
      </w:tcPr>
    </w:tblStylePr>
    <w:tblStylePr w:type="band1Vert">
      <w:tcPr>
        <w:shd w:val="clear" w:color="ffffff" w:themeColor="accent3" w:themeTint="34" w:fill="eaf0dd" w:themeFill="accent3" w:themeFillTint="34"/>
      </w:tcPr>
    </w:tblStylePr>
    <w:tblStylePr w:type="band2Horz">
      <w:rPr>
        <w:rFonts w:ascii="Arial" w:hAnsi="Arial"/>
        <w:color w:val="5c702f" w:themeColor="accent3" w:themeTint="FE" w:themeShade="95"/>
        <w:sz w:val="22"/>
      </w:rPr>
    </w:tblStylePr>
    <w:tblStylePr w:type="firstCol">
      <w:rPr>
        <w:rFonts w:ascii="Arial" w:hAnsi="Arial"/>
        <w:i/>
        <w:color w:val="5c702f" w:themeColor="accent3" w:themeTint="FE" w:themeShade="95"/>
        <w:sz w:val="22"/>
      </w:rPr>
      <w:pPr>
        <w:jc w:val="right"/>
      </w:pPr>
      <w:tcPr>
        <w:shd w:val="clear" w:color="ffffff"/>
        <w:tcBorders>
          <w:top w:val="none" w:color="000000" w:sz="4" w:space="0"/>
          <w:left w:val="none" w:color="000000" w:sz="4" w:space="0"/>
          <w:bottom w:val="none" w:color="000000" w:sz="4" w:space="0"/>
          <w:right w:val="single" w:color="000000" w:themeColor="accent3" w:themeTint="FE" w:sz="4" w:space="0"/>
        </w:tcBorders>
      </w:tcPr>
    </w:tblStylePr>
    <w:tblStylePr w:type="firstRow">
      <w:rPr>
        <w:rFonts w:ascii="Arial" w:hAnsi="Arial"/>
        <w:b/>
        <w:color w:val="5c702f" w:themeColor="accent3" w:themeTint="FE" w:themeShade="95"/>
        <w:sz w:val="22"/>
      </w:rPr>
      <w:tcPr>
        <w:shd w:val="clear" w:color="ffffff" w:themeColor="light1" w:fill="ffffff" w:themeFill="light1"/>
        <w:tcBorders>
          <w:top w:val="none" w:color="000000" w:sz="4" w:space="0"/>
          <w:left w:val="none" w:color="000000" w:sz="4" w:space="0"/>
          <w:bottom w:val="single" w:color="000000" w:themeColor="accent3" w:themeTint="FE" w:sz="4" w:space="0"/>
          <w:right w:val="none" w:color="000000" w:sz="4" w:space="0"/>
        </w:tcBorders>
      </w:tcPr>
    </w:tblStylePr>
    <w:tblStylePr w:type="lastCol">
      <w:rPr>
        <w:rFonts w:ascii="Arial" w:hAnsi="Arial"/>
        <w:i/>
        <w:color w:val="5c702f" w:themeColor="accent3" w:themeTint="FE" w:themeShade="95"/>
        <w:sz w:val="22"/>
      </w:rPr>
      <w:tcPr>
        <w:shd w:val="clear" w:color="ffffff"/>
        <w:tcBorders>
          <w:top w:val="none" w:color="000000" w:sz="4" w:space="0"/>
          <w:left w:val="single" w:color="000000" w:themeColor="accent3" w:themeTint="FE" w:sz="4" w:space="0"/>
          <w:bottom w:val="none" w:color="000000" w:sz="4" w:space="0"/>
          <w:right w:val="none" w:color="000000" w:sz="4" w:space="0"/>
        </w:tcBorders>
      </w:tcPr>
    </w:tblStylePr>
    <w:tblStylePr w:type="lastRow">
      <w:rPr>
        <w:rFonts w:ascii="Arial" w:hAnsi="Arial"/>
        <w:b/>
        <w:color w:val="5c702f" w:themeColor="accent3" w:themeTint="FE" w:themeShade="95"/>
        <w:sz w:val="22"/>
      </w:rPr>
      <w:tcPr>
        <w:shd w:val="clear" w:color="ffffff" w:themeColor="light1" w:fill="ffffff" w:themeFill="light1"/>
        <w:tcBorders>
          <w:top w:val="single" w:color="000000" w:themeColor="accent3" w:themeTint="FE" w:sz="4" w:space="0"/>
          <w:left w:val="none" w:color="000000" w:sz="4" w:space="0"/>
          <w:bottom w:val="none" w:color="000000" w:sz="4" w:space="0"/>
          <w:right w:val="none" w:color="000000" w:sz="4" w:space="0"/>
        </w:tcBorders>
      </w:tcPr>
    </w:tblStylePr>
  </w:style>
  <w:style w:type="table" w:styleId="853">
    <w:name w:val="Grid Table 7 Colorful - Accent 4"/>
    <w:basedOn w:val="947"/>
    <w:uiPriority w:val="99"/>
    <w:pPr>
      <w:spacing w:after="0" w:line="240" w:lineRule="auto"/>
    </w:pPr>
    <w:tblPr>
      <w:tblStyleRowBandSize w:val="1"/>
      <w:tblStyleColBandSize w:val="1"/>
      <w:tblInd w:w="0" w:type="dxa"/>
      <w:tblBorders>
        <w:bottom w:val="single" w:color="000000" w:themeColor="accent4" w:themeTint="9A" w:sz="4" w:space="0"/>
        <w:right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664f82" w:themeColor="accent4" w:themeTint="9A" w:themeShade="95"/>
        <w:sz w:val="22"/>
      </w:rPr>
      <w:tcPr>
        <w:shd w:val="clear" w:color="ffffff" w:themeColor="accent4" w:themeTint="34" w:fill="e5dfec" w:themeFill="accent4" w:themeFillTint="34"/>
      </w:tcPr>
    </w:tblStylePr>
    <w:tblStylePr w:type="band1Vert">
      <w:tcPr>
        <w:shd w:val="clear" w:color="ffffff" w:themeColor="accent4" w:themeTint="34" w:fill="e5dfec" w:themeFill="accent4" w:themeFillTint="34"/>
      </w:tcPr>
    </w:tblStylePr>
    <w:tblStylePr w:type="band2Horz">
      <w:rPr>
        <w:rFonts w:ascii="Arial" w:hAnsi="Arial"/>
        <w:color w:val="664f82" w:themeColor="accent4" w:themeTint="9A" w:themeShade="95"/>
        <w:sz w:val="22"/>
      </w:rPr>
    </w:tblStylePr>
    <w:tblStylePr w:type="firstCol">
      <w:rPr>
        <w:rFonts w:ascii="Arial" w:hAnsi="Arial"/>
        <w:i/>
        <w:color w:val="664f82" w:themeColor="accent4"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4" w:themeTint="9A" w:sz="4" w:space="0"/>
        </w:tcBorders>
      </w:tcPr>
    </w:tblStylePr>
    <w:tblStylePr w:type="firstRow">
      <w:rPr>
        <w:rFonts w:ascii="Arial" w:hAnsi="Arial"/>
        <w:b/>
        <w:color w:val="664f82" w:themeColor="accent4" w:themeTint="9A" w:themeShade="95"/>
        <w:sz w:val="22"/>
      </w:rPr>
      <w:tcPr>
        <w:shd w:val="clear" w:color="ffffff" w:themeColor="light1" w:fill="ffffff" w:themeFill="light1"/>
        <w:tcBorders>
          <w:top w:val="none" w:color="000000" w:sz="4" w:space="0"/>
          <w:left w:val="none" w:color="000000" w:sz="4" w:space="0"/>
          <w:bottom w:val="single" w:color="000000" w:themeColor="accent4" w:themeTint="9A" w:sz="4" w:space="0"/>
          <w:right w:val="none" w:color="000000" w:sz="4" w:space="0"/>
        </w:tcBorders>
      </w:tcPr>
    </w:tblStylePr>
    <w:tblStylePr w:type="lastCol">
      <w:rPr>
        <w:rFonts w:ascii="Arial" w:hAnsi="Arial"/>
        <w:i/>
        <w:color w:val="664f82" w:themeColor="accent4" w:themeTint="9A" w:themeShade="95"/>
        <w:sz w:val="22"/>
      </w:rPr>
      <w:tcPr>
        <w:shd w:val="clear" w:color="ffffff"/>
        <w:tcBorders>
          <w:top w:val="none" w:color="000000" w:sz="4" w:space="0"/>
          <w:left w:val="single" w:color="000000" w:themeColor="accent4" w:themeTint="9A" w:sz="4" w:space="0"/>
          <w:bottom w:val="none" w:color="000000" w:sz="4" w:space="0"/>
          <w:right w:val="none" w:color="000000" w:sz="4" w:space="0"/>
        </w:tcBorders>
      </w:tcPr>
    </w:tblStylePr>
    <w:tblStylePr w:type="lastRow">
      <w:rPr>
        <w:rFonts w:ascii="Arial" w:hAnsi="Arial"/>
        <w:b/>
        <w:color w:val="664f82" w:themeColor="accent4" w:themeTint="9A" w:themeShade="95"/>
        <w:sz w:val="22"/>
      </w:rPr>
      <w:tcPr>
        <w:shd w:val="clear" w:color="ffffff" w:themeColor="light1" w:fill="ffffff" w:themeFill="light1"/>
        <w:tcBorders>
          <w:top w:val="single" w:color="000000" w:themeColor="accent4" w:themeTint="9A" w:sz="4" w:space="0"/>
          <w:left w:val="none" w:color="000000" w:sz="4" w:space="0"/>
          <w:bottom w:val="none" w:color="000000" w:sz="4" w:space="0"/>
          <w:right w:val="none" w:color="000000" w:sz="4" w:space="0"/>
        </w:tcBorders>
      </w:tcPr>
    </w:tblStylePr>
  </w:style>
  <w:style w:type="table" w:styleId="854">
    <w:name w:val="Grid Table 7 Colorful - Accent 5"/>
    <w:basedOn w:val="947"/>
    <w:uiPriority w:val="99"/>
    <w:pPr>
      <w:spacing w:after="0" w:line="240" w:lineRule="auto"/>
    </w:pPr>
    <w:tblPr>
      <w:tblStyleRowBandSize w:val="1"/>
      <w:tblStyleColBandSize w:val="1"/>
      <w:tblInd w:w="0" w:type="dxa"/>
      <w:tblBorders>
        <w:bottom w:val="single" w:color="000000" w:themeColor="accent5" w:themeTint="90" w:sz="4" w:space="0"/>
        <w:right w:val="single" w:color="000000" w:themeColor="accent5" w:themeTint="90" w:sz="4" w:space="0"/>
        <w:insideH w:val="single" w:color="000000" w:themeColor="accent5" w:themeTint="90" w:sz="4" w:space="0"/>
        <w:insideV w:val="single" w:color="000000" w:themeColor="accent5" w:themeTint="90" w:sz="4" w:space="0"/>
      </w:tblBorders>
    </w:tblPr>
    <w:tblStylePr w:type="band1Horz">
      <w:rPr>
        <w:rFonts w:ascii="Arial" w:hAnsi="Arial"/>
        <w:color w:val="266777" w:themeColor="accent5" w:themeShade="95"/>
        <w:sz w:val="22"/>
      </w:rPr>
      <w:tcPr>
        <w:shd w:val="clear" w:color="ffffff" w:themeColor="accent5" w:themeTint="34" w:fill="daeef3" w:themeFill="accent5" w:themeFillTint="34"/>
      </w:tcPr>
    </w:tblStylePr>
    <w:tblStylePr w:type="band1Vert">
      <w:tcPr>
        <w:shd w:val="clear" w:color="ffffff" w:themeColor="accent5" w:themeTint="34" w:fill="daeef3" w:themeFill="accent5" w:themeFillTint="34"/>
      </w:tcPr>
    </w:tblStylePr>
    <w:tblStylePr w:type="band2Horz">
      <w:rPr>
        <w:rFonts w:ascii="Arial" w:hAnsi="Arial"/>
        <w:color w:val="266777" w:themeColor="accent5" w:themeShade="95"/>
        <w:sz w:val="22"/>
      </w:rPr>
    </w:tblStylePr>
    <w:tblStylePr w:type="firstCol">
      <w:rPr>
        <w:rFonts w:ascii="Arial" w:hAnsi="Arial"/>
        <w:i/>
        <w:color w:val="266777" w:themeColor="accent5" w:themeShade="95"/>
        <w:sz w:val="22"/>
      </w:rPr>
      <w:pPr>
        <w:jc w:val="right"/>
      </w:pPr>
      <w:tcPr>
        <w:shd w:val="clear" w:color="ffffff"/>
        <w:tcBorders>
          <w:top w:val="none" w:color="000000" w:sz="4" w:space="0"/>
          <w:left w:val="none" w:color="000000" w:sz="4" w:space="0"/>
          <w:bottom w:val="none" w:color="000000" w:sz="4" w:space="0"/>
          <w:right w:val="single" w:color="000000" w:themeColor="accent5" w:themeTint="90" w:sz="4" w:space="0"/>
        </w:tcBorders>
      </w:tcPr>
    </w:tblStylePr>
    <w:tblStylePr w:type="firstRow">
      <w:rPr>
        <w:rFonts w:ascii="Arial" w:hAnsi="Arial"/>
        <w:b/>
        <w:color w:val="266777" w:themeColor="accent5" w:themeShade="95"/>
        <w:sz w:val="22"/>
      </w:rPr>
      <w:tcPr>
        <w:shd w:val="clear" w:color="ffffff" w:themeColor="light1" w:fill="ffffff" w:themeFill="light1"/>
        <w:tcBorders>
          <w:top w:val="none" w:color="000000" w:sz="4" w:space="0"/>
          <w:left w:val="none" w:color="000000" w:sz="4" w:space="0"/>
          <w:bottom w:val="single" w:color="000000" w:themeColor="accent5" w:themeTint="90" w:sz="4" w:space="0"/>
          <w:right w:val="none" w:color="000000" w:sz="4" w:space="0"/>
        </w:tcBorders>
      </w:tcPr>
    </w:tblStylePr>
    <w:tblStylePr w:type="lastCol">
      <w:rPr>
        <w:rFonts w:ascii="Arial" w:hAnsi="Arial"/>
        <w:i/>
        <w:color w:val="266777" w:themeColor="accent5" w:themeShade="95"/>
        <w:sz w:val="22"/>
      </w:rPr>
      <w:tcPr>
        <w:shd w:val="clear" w:color="ffffff"/>
        <w:tcBorders>
          <w:top w:val="none" w:color="000000" w:sz="4" w:space="0"/>
          <w:left w:val="single" w:color="000000" w:themeColor="accent5" w:themeTint="90" w:sz="4" w:space="0"/>
          <w:bottom w:val="none" w:color="000000" w:sz="4" w:space="0"/>
          <w:right w:val="none" w:color="000000" w:sz="4" w:space="0"/>
        </w:tcBorders>
      </w:tcPr>
    </w:tblStylePr>
    <w:tblStylePr w:type="lastRow">
      <w:rPr>
        <w:rFonts w:ascii="Arial" w:hAnsi="Arial"/>
        <w:b/>
        <w:color w:val="266777" w:themeColor="accent5" w:themeShade="95"/>
        <w:sz w:val="22"/>
      </w:rPr>
      <w:tcPr>
        <w:shd w:val="clear" w:color="ffffff" w:themeColor="light1" w:fill="ffffff" w:themeFill="light1"/>
        <w:tcBorders>
          <w:top w:val="single" w:color="000000" w:themeColor="accent5" w:themeTint="90" w:sz="4" w:space="0"/>
          <w:left w:val="none" w:color="000000" w:sz="4" w:space="0"/>
          <w:bottom w:val="none" w:color="000000" w:sz="4" w:space="0"/>
          <w:right w:val="none" w:color="000000" w:sz="4" w:space="0"/>
        </w:tcBorders>
      </w:tcPr>
    </w:tblStylePr>
  </w:style>
  <w:style w:type="table" w:styleId="855">
    <w:name w:val="Grid Table 7 Colorful - Accent 6"/>
    <w:basedOn w:val="947"/>
    <w:uiPriority w:val="99"/>
    <w:pPr>
      <w:spacing w:after="0" w:line="240" w:lineRule="auto"/>
    </w:pPr>
    <w:tblPr>
      <w:tblStyleRowBandSize w:val="1"/>
      <w:tblStyleColBandSize w:val="1"/>
      <w:tblInd w:w="0" w:type="dxa"/>
      <w:tblBorders>
        <w:bottom w:val="single" w:color="000000" w:themeColor="accent6" w:themeTint="90" w:sz="4" w:space="0"/>
        <w:right w:val="single" w:color="000000" w:themeColor="accent6" w:themeTint="90" w:sz="4" w:space="0"/>
        <w:insideH w:val="single" w:color="000000" w:themeColor="accent6" w:themeTint="90" w:sz="4" w:space="0"/>
        <w:insideV w:val="single" w:color="000000" w:themeColor="accent6" w:themeTint="90" w:sz="4" w:space="0"/>
      </w:tblBorders>
    </w:tblPr>
    <w:tblStylePr w:type="band1Horz">
      <w:rPr>
        <w:rFonts w:ascii="Arial" w:hAnsi="Arial"/>
        <w:color w:val="b05307" w:themeColor="accent6" w:themeShade="95"/>
        <w:sz w:val="22"/>
      </w:rPr>
      <w:tcPr>
        <w:shd w:val="clear" w:color="ffffff" w:themeColor="accent6" w:themeTint="34" w:fill="fde9d8" w:themeFill="accent6" w:themeFillTint="34"/>
      </w:tcPr>
    </w:tblStylePr>
    <w:tblStylePr w:type="band1Vert">
      <w:tcPr>
        <w:shd w:val="clear" w:color="ffffff" w:themeColor="accent6" w:themeTint="34" w:fill="fde9d8" w:themeFill="accent6" w:themeFillTint="34"/>
      </w:tcPr>
    </w:tblStylePr>
    <w:tblStylePr w:type="band2Horz">
      <w:rPr>
        <w:rFonts w:ascii="Arial" w:hAnsi="Arial"/>
        <w:color w:val="b05307" w:themeColor="accent6" w:themeShade="95"/>
        <w:sz w:val="22"/>
      </w:rPr>
    </w:tblStylePr>
    <w:tblStylePr w:type="firstCol">
      <w:rPr>
        <w:rFonts w:ascii="Arial" w:hAnsi="Arial"/>
        <w:i/>
        <w:color w:val="b05307" w:themeColor="accent6" w:themeShade="95"/>
        <w:sz w:val="22"/>
      </w:rPr>
      <w:pPr>
        <w:jc w:val="right"/>
      </w:pPr>
      <w:tcPr>
        <w:shd w:val="clear" w:color="ffffff"/>
        <w:tcBorders>
          <w:top w:val="none" w:color="000000" w:sz="4" w:space="0"/>
          <w:left w:val="none" w:color="000000" w:sz="4" w:space="0"/>
          <w:bottom w:val="none" w:color="000000" w:sz="4" w:space="0"/>
          <w:right w:val="single" w:color="000000" w:themeColor="accent6" w:themeTint="90" w:sz="4" w:space="0"/>
        </w:tcBorders>
      </w:tcPr>
    </w:tblStylePr>
    <w:tblStylePr w:type="firstRow">
      <w:rPr>
        <w:rFonts w:ascii="Arial" w:hAnsi="Arial"/>
        <w:b/>
        <w:color w:val="b05307" w:themeColor="accent6" w:themeShade="95"/>
        <w:sz w:val="22"/>
      </w:rPr>
      <w:tcPr>
        <w:shd w:val="clear" w:color="ffffff" w:themeColor="light1" w:fill="ffffff" w:themeFill="light1"/>
        <w:tcBorders>
          <w:top w:val="none" w:color="000000" w:sz="4" w:space="0"/>
          <w:left w:val="none" w:color="000000" w:sz="4" w:space="0"/>
          <w:bottom w:val="single" w:color="000000" w:themeColor="accent6" w:themeTint="90" w:sz="4" w:space="0"/>
          <w:right w:val="none" w:color="000000" w:sz="4" w:space="0"/>
        </w:tcBorders>
      </w:tcPr>
    </w:tblStylePr>
    <w:tblStylePr w:type="lastCol">
      <w:rPr>
        <w:rFonts w:ascii="Arial" w:hAnsi="Arial"/>
        <w:i/>
        <w:color w:val="b05307" w:themeColor="accent6" w:themeShade="95"/>
        <w:sz w:val="22"/>
      </w:rPr>
      <w:tcPr>
        <w:shd w:val="clear" w:color="ffffff"/>
        <w:tcBorders>
          <w:top w:val="none" w:color="000000" w:sz="4" w:space="0"/>
          <w:left w:val="single" w:color="000000" w:themeColor="accent6" w:themeTint="90" w:sz="4" w:space="0"/>
          <w:bottom w:val="none" w:color="000000" w:sz="4" w:space="0"/>
          <w:right w:val="none" w:color="000000" w:sz="4" w:space="0"/>
        </w:tcBorders>
      </w:tcPr>
    </w:tblStylePr>
    <w:tblStylePr w:type="lastRow">
      <w:rPr>
        <w:rFonts w:ascii="Arial" w:hAnsi="Arial"/>
        <w:b/>
        <w:color w:val="b05307" w:themeColor="accent6" w:themeShade="95"/>
        <w:sz w:val="22"/>
      </w:rPr>
      <w:tcPr>
        <w:shd w:val="clear" w:color="ffffff" w:themeColor="light1" w:fill="ffffff" w:themeFill="light1"/>
        <w:tcBorders>
          <w:top w:val="single" w:color="000000" w:themeColor="accent6" w:themeTint="90" w:sz="4" w:space="0"/>
          <w:left w:val="none" w:color="000000" w:sz="4" w:space="0"/>
          <w:bottom w:val="none" w:color="000000" w:sz="4" w:space="0"/>
          <w:right w:val="none" w:color="000000" w:sz="4" w:space="0"/>
        </w:tcBorders>
      </w:tcPr>
    </w:tblStylePr>
  </w:style>
  <w:style w:type="table" w:styleId="856">
    <w:name w:val="List Table 1 Light"/>
    <w:basedOn w:val="947"/>
    <w:uiPriority w:val="99"/>
    <w:pPr>
      <w:spacing w:after="0" w:line="240" w:lineRule="auto"/>
    </w:pPr>
    <w:tblPr>
      <w:tblStyleRowBandSize w:val="1"/>
      <w:tblStyleColBandSize w:val="1"/>
      <w:tblInd w:w="0" w:type="dxa"/>
    </w:tblPr>
    <w:tblStylePr w:type="band1Horz">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text1" w:sz="4" w:space="0"/>
          <w:right w:val="none" w:color="000000" w:sz="4" w:space="0"/>
        </w:tcBorders>
      </w:tcPr>
    </w:tblStylePr>
    <w:tblStylePr w:type="lastCol">
      <w:rPr>
        <w:b/>
        <w:color w:val="404040"/>
      </w:rPr>
    </w:tblStylePr>
    <w:tblStylePr w:type="lastRow">
      <w:rPr>
        <w:b/>
        <w:color w:val="404040"/>
      </w:rPr>
      <w:tcPr>
        <w:tcBorders>
          <w:top w:val="single" w:color="000000" w:themeColor="text1" w:sz="4" w:space="0"/>
          <w:left w:val="none" w:color="000000" w:sz="4" w:space="0"/>
          <w:bottom w:val="none" w:color="000000" w:sz="4" w:space="0"/>
          <w:right w:val="none" w:color="000000" w:sz="4" w:space="0"/>
        </w:tcBorders>
      </w:tcPr>
    </w:tblStylePr>
  </w:style>
  <w:style w:type="table" w:styleId="857">
    <w:name w:val="List Table 1 Light - Accent 1"/>
    <w:basedOn w:val="947"/>
    <w:uiPriority w:val="99"/>
    <w:pPr>
      <w:spacing w:after="0" w:line="240" w:lineRule="auto"/>
    </w:pPr>
    <w:tblPr>
      <w:tblStyleRowBandSize w:val="1"/>
      <w:tblStyleColBandSize w:val="1"/>
      <w:tblInd w:w="0" w:type="dxa"/>
    </w:tblPr>
    <w:tblStylePr w:type="band1Horz">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1" w:sz="4" w:space="0"/>
          <w:right w:val="none" w:color="000000" w:sz="4" w:space="0"/>
        </w:tcBorders>
      </w:tcPr>
    </w:tblStylePr>
    <w:tblStylePr w:type="lastCol">
      <w:rPr>
        <w:b/>
        <w:color w:val="404040"/>
      </w:rPr>
    </w:tblStylePr>
    <w:tblStylePr w:type="lastRow">
      <w:rPr>
        <w:b/>
        <w:color w:val="404040"/>
      </w:rPr>
      <w:tcPr>
        <w:tcBorders>
          <w:top w:val="single" w:color="000000" w:themeColor="accent1" w:sz="4" w:space="0"/>
          <w:left w:val="none" w:color="000000" w:sz="4" w:space="0"/>
          <w:bottom w:val="none" w:color="000000" w:sz="4" w:space="0"/>
          <w:right w:val="none" w:color="000000" w:sz="4" w:space="0"/>
        </w:tcBorders>
      </w:tcPr>
    </w:tblStylePr>
  </w:style>
  <w:style w:type="table" w:styleId="858">
    <w:name w:val="List Table 1 Light - Accent 2"/>
    <w:basedOn w:val="947"/>
    <w:uiPriority w:val="99"/>
    <w:pPr>
      <w:spacing w:after="0" w:line="240" w:lineRule="auto"/>
    </w:pPr>
    <w:tblPr>
      <w:tblStyleRowBandSize w:val="1"/>
      <w:tblStyleColBandSize w:val="1"/>
      <w:tblInd w:w="0" w:type="dxa"/>
    </w:tblPr>
    <w:tblStylePr w:type="band1Horz">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2" w:sz="4" w:space="0"/>
          <w:right w:val="none" w:color="000000" w:sz="4" w:space="0"/>
        </w:tcBorders>
      </w:tcPr>
    </w:tblStylePr>
    <w:tblStylePr w:type="lastCol">
      <w:rPr>
        <w:b/>
        <w:color w:val="404040"/>
      </w:rPr>
    </w:tblStylePr>
    <w:tblStylePr w:type="lastRow">
      <w:rPr>
        <w:b/>
        <w:color w:val="404040"/>
      </w:rPr>
      <w:tcPr>
        <w:tcBorders>
          <w:top w:val="single" w:color="000000" w:themeColor="accent2" w:sz="4" w:space="0"/>
          <w:left w:val="none" w:color="000000" w:sz="4" w:space="0"/>
          <w:bottom w:val="none" w:color="000000" w:sz="4" w:space="0"/>
          <w:right w:val="none" w:color="000000" w:sz="4" w:space="0"/>
        </w:tcBorders>
      </w:tcPr>
    </w:tblStylePr>
  </w:style>
  <w:style w:type="table" w:styleId="859">
    <w:name w:val="List Table 1 Light - Accent 3"/>
    <w:basedOn w:val="947"/>
    <w:uiPriority w:val="99"/>
    <w:pPr>
      <w:spacing w:after="0" w:line="240" w:lineRule="auto"/>
    </w:pPr>
    <w:tblPr>
      <w:tblStyleRowBandSize w:val="1"/>
      <w:tblStyleColBandSize w:val="1"/>
      <w:tblInd w:w="0" w:type="dxa"/>
    </w:tblPr>
    <w:tblStylePr w:type="band1Horz">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3" w:sz="4" w:space="0"/>
          <w:right w:val="none" w:color="000000" w:sz="4" w:space="0"/>
        </w:tcBorders>
      </w:tcPr>
    </w:tblStylePr>
    <w:tblStylePr w:type="lastCol">
      <w:rPr>
        <w:b/>
        <w:color w:val="404040"/>
      </w:rPr>
    </w:tblStylePr>
    <w:tblStylePr w:type="lastRow">
      <w:rPr>
        <w:b/>
        <w:color w:val="404040"/>
      </w:rPr>
      <w:tcPr>
        <w:tcBorders>
          <w:top w:val="single" w:color="000000" w:themeColor="accent3" w:sz="4" w:space="0"/>
          <w:left w:val="none" w:color="000000" w:sz="4" w:space="0"/>
          <w:bottom w:val="none" w:color="000000" w:sz="4" w:space="0"/>
          <w:right w:val="none" w:color="000000" w:sz="4" w:space="0"/>
        </w:tcBorders>
      </w:tcPr>
    </w:tblStylePr>
  </w:style>
  <w:style w:type="table" w:styleId="860">
    <w:name w:val="List Table 1 Light - Accent 4"/>
    <w:basedOn w:val="947"/>
    <w:uiPriority w:val="99"/>
    <w:pPr>
      <w:spacing w:after="0" w:line="240" w:lineRule="auto"/>
    </w:pPr>
    <w:tblPr>
      <w:tblStyleRowBandSize w:val="1"/>
      <w:tblStyleColBandSize w:val="1"/>
      <w:tblInd w:w="0" w:type="dxa"/>
    </w:tblPr>
    <w:tblStylePr w:type="band1Horz">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4" w:sz="4" w:space="0"/>
          <w:right w:val="none" w:color="000000" w:sz="4" w:space="0"/>
        </w:tcBorders>
      </w:tcPr>
    </w:tblStylePr>
    <w:tblStylePr w:type="lastCol">
      <w:rPr>
        <w:b/>
        <w:color w:val="404040"/>
      </w:rPr>
    </w:tblStylePr>
    <w:tblStylePr w:type="lastRow">
      <w:rPr>
        <w:b/>
        <w:color w:val="404040"/>
      </w:rPr>
      <w:tcPr>
        <w:tcBorders>
          <w:top w:val="single" w:color="000000" w:themeColor="accent4" w:sz="4" w:space="0"/>
          <w:left w:val="none" w:color="000000" w:sz="4" w:space="0"/>
          <w:bottom w:val="none" w:color="000000" w:sz="4" w:space="0"/>
          <w:right w:val="none" w:color="000000" w:sz="4" w:space="0"/>
        </w:tcBorders>
      </w:tcPr>
    </w:tblStylePr>
  </w:style>
  <w:style w:type="table" w:styleId="861">
    <w:name w:val="List Table 1 Light - Accent 5"/>
    <w:basedOn w:val="947"/>
    <w:uiPriority w:val="99"/>
    <w:pPr>
      <w:spacing w:after="0" w:line="240" w:lineRule="auto"/>
    </w:pPr>
    <w:tblPr>
      <w:tblStyleRowBandSize w:val="1"/>
      <w:tblStyleColBandSize w:val="1"/>
      <w:tblInd w:w="0" w:type="dxa"/>
    </w:tblPr>
    <w:tblStylePr w:type="band1Horz">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5" w:sz="4" w:space="0"/>
          <w:right w:val="none" w:color="000000" w:sz="4" w:space="0"/>
        </w:tcBorders>
      </w:tcPr>
    </w:tblStylePr>
    <w:tblStylePr w:type="lastCol">
      <w:rPr>
        <w:b/>
        <w:color w:val="404040"/>
      </w:rPr>
    </w:tblStylePr>
    <w:tblStylePr w:type="lastRow">
      <w:rPr>
        <w:b/>
        <w:color w:val="404040"/>
      </w:rPr>
      <w:tcPr>
        <w:tcBorders>
          <w:top w:val="single" w:color="000000" w:themeColor="accent5" w:sz="4" w:space="0"/>
          <w:left w:val="none" w:color="000000" w:sz="4" w:space="0"/>
          <w:bottom w:val="none" w:color="000000" w:sz="4" w:space="0"/>
          <w:right w:val="none" w:color="000000" w:sz="4" w:space="0"/>
        </w:tcBorders>
      </w:tcPr>
    </w:tblStylePr>
  </w:style>
  <w:style w:type="table" w:styleId="862">
    <w:name w:val="List Table 1 Light - Accent 6"/>
    <w:basedOn w:val="947"/>
    <w:uiPriority w:val="99"/>
    <w:pPr>
      <w:spacing w:after="0" w:line="240" w:lineRule="auto"/>
    </w:pPr>
    <w:tblPr>
      <w:tblStyleRowBandSize w:val="1"/>
      <w:tblStyleColBandSize w:val="1"/>
      <w:tblInd w:w="0" w:type="dxa"/>
    </w:tblPr>
    <w:tblStylePr w:type="band1Horz">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6" w:sz="4" w:space="0"/>
          <w:right w:val="none" w:color="000000" w:sz="4" w:space="0"/>
        </w:tcBorders>
      </w:tcPr>
    </w:tblStylePr>
    <w:tblStylePr w:type="lastCol">
      <w:rPr>
        <w:b/>
        <w:color w:val="404040"/>
      </w:rPr>
    </w:tblStylePr>
    <w:tblStylePr w:type="lastRow">
      <w:rPr>
        <w:b/>
        <w:color w:val="404040"/>
      </w:rPr>
      <w:tcPr>
        <w:tcBorders>
          <w:top w:val="single" w:color="000000" w:themeColor="accent6" w:sz="4" w:space="0"/>
          <w:left w:val="none" w:color="000000" w:sz="4" w:space="0"/>
          <w:bottom w:val="none" w:color="000000" w:sz="4" w:space="0"/>
          <w:right w:val="none" w:color="000000" w:sz="4" w:space="0"/>
        </w:tcBorders>
      </w:tcPr>
    </w:tblStylePr>
  </w:style>
  <w:style w:type="table" w:styleId="863">
    <w:name w:val="List Table 2"/>
    <w:basedOn w:val="947"/>
    <w:uiPriority w:val="99"/>
    <w:pPr>
      <w:spacing w:after="0" w:line="240" w:lineRule="auto"/>
    </w:pPr>
    <w:tblPr>
      <w:tblStyleRowBandSize w:val="1"/>
      <w:tblStyleColBandSize w:val="1"/>
      <w:tblInd w:w="0" w:type="dxa"/>
      <w:tblBorders>
        <w:top w:val="single" w:color="000000" w:themeColor="text1" w:themeTint="90" w:sz="4" w:space="0"/>
        <w:bottom w:val="single" w:color="000000" w:themeColor="text1" w:themeTint="90" w:sz="4" w:space="0"/>
        <w:insideH w:val="single" w:color="000000" w:themeColor="text1" w:themeTint="90" w:sz="4" w:space="0"/>
      </w:tblBorders>
    </w:tblPr>
    <w:tblStylePr w:type="band1Horz">
      <w:rPr>
        <w:rFonts w:ascii="Arial" w:hAnsi="Arial"/>
        <w:color w:val="404040"/>
        <w:sz w:val="22"/>
      </w:rPr>
      <w:tcPr>
        <w:shd w:val="clear" w:color="ffffff" w:themeColor="text1" w:themeTint="40" w:fill="bfbfbf" w:themeFill="text1" w:themeFillTint="40"/>
      </w:tcPr>
    </w:tblStylePr>
    <w:tblStylePr w:type="band1Vert">
      <w:rPr>
        <w:rFonts w:ascii="Arial" w:hAnsi="Arial"/>
        <w:color w:val="404040"/>
        <w:sz w:val="22"/>
      </w:rPr>
      <w:tcPr>
        <w:shd w:val="clear" w:color="ffffff" w:themeColor="text1" w:themeTint="40" w:fill="bfbfbf" w:themeFill="tex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text1" w:themeTint="90" w:sz="4" w:space="0"/>
          <w:left w:val="none" w:color="000000" w:sz="4" w:space="0"/>
          <w:bottom w:val="single" w:color="000000" w:themeColor="tex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text1" w:themeTint="90" w:sz="4" w:space="0"/>
          <w:left w:val="none" w:color="000000" w:sz="4" w:space="0"/>
          <w:bottom w:val="single" w:color="000000" w:themeColor="text1" w:themeTint="90" w:sz="4" w:space="0"/>
          <w:right w:val="none" w:color="000000" w:sz="4" w:space="0"/>
        </w:tcBorders>
      </w:tcPr>
    </w:tblStylePr>
  </w:style>
  <w:style w:type="table" w:styleId="864">
    <w:name w:val="List Table 2 - Accent 1"/>
    <w:basedOn w:val="947"/>
    <w:uiPriority w:val="99"/>
    <w:pPr>
      <w:spacing w:after="0" w:line="240" w:lineRule="auto"/>
    </w:pPr>
    <w:tblPr>
      <w:tblStyleRowBandSize w:val="1"/>
      <w:tblStyleColBandSize w:val="1"/>
      <w:tblInd w:w="0" w:type="dxa"/>
      <w:tblBorders>
        <w:top w:val="single" w:color="000000" w:themeColor="accent1" w:themeTint="90" w:sz="4" w:space="0"/>
        <w:bottom w:val="single" w:color="000000" w:themeColor="accent1" w:themeTint="90" w:sz="4" w:space="0"/>
        <w:insideH w:val="single" w:color="000000" w:themeColor="accent1" w:themeTint="90" w:sz="4" w:space="0"/>
      </w:tblBorders>
    </w:tblPr>
    <w:tblStylePr w:type="band1Horz">
      <w:rPr>
        <w:rFonts w:ascii="Arial" w:hAnsi="Arial"/>
        <w:color w:val="404040"/>
        <w:sz w:val="22"/>
      </w:rPr>
      <w:tcPr>
        <w:shd w:val="clear" w:color="ffffff" w:themeColor="accent1" w:themeTint="40" w:fill="d3e0ee" w:themeFill="accent1" w:themeFillTint="40"/>
      </w:tcPr>
    </w:tblStylePr>
    <w:tblStylePr w:type="band1Vert">
      <w:rPr>
        <w:rFonts w:ascii="Arial" w:hAnsi="Arial"/>
        <w:color w:val="404040"/>
        <w:sz w:val="22"/>
      </w:rPr>
      <w:tcPr>
        <w:shd w:val="clear" w:color="ffffff" w:themeColor="accent1" w:themeTint="40" w:fill="d3e0ee" w:themeFill="accen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1" w:themeTint="90" w:sz="4" w:space="0"/>
          <w:left w:val="none" w:color="000000" w:sz="4" w:space="0"/>
          <w:bottom w:val="single" w:color="000000" w:themeColor="accen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1" w:themeTint="90" w:sz="4" w:space="0"/>
          <w:left w:val="none" w:color="000000" w:sz="4" w:space="0"/>
          <w:bottom w:val="single" w:color="000000" w:themeColor="accent1" w:themeTint="90" w:sz="4" w:space="0"/>
          <w:right w:val="none" w:color="000000" w:sz="4" w:space="0"/>
        </w:tcBorders>
      </w:tcPr>
    </w:tblStylePr>
  </w:style>
  <w:style w:type="table" w:styleId="865">
    <w:name w:val="List Table 2 - Accent 2"/>
    <w:basedOn w:val="947"/>
    <w:uiPriority w:val="99"/>
    <w:pPr>
      <w:spacing w:after="0" w:line="240" w:lineRule="auto"/>
    </w:pPr>
    <w:tblPr>
      <w:tblStyleRowBandSize w:val="1"/>
      <w:tblStyleColBandSize w:val="1"/>
      <w:tblInd w:w="0" w:type="dxa"/>
      <w:tblBorders>
        <w:top w:val="single" w:color="000000" w:themeColor="accent2" w:themeTint="90" w:sz="4" w:space="0"/>
        <w:bottom w:val="single" w:color="000000" w:themeColor="accent2" w:themeTint="90" w:sz="4" w:space="0"/>
        <w:insideH w:val="single" w:color="000000" w:themeColor="accent2" w:themeTint="90" w:sz="4" w:space="0"/>
      </w:tblBorders>
    </w:tblPr>
    <w:tblStylePr w:type="band1Horz">
      <w:rPr>
        <w:rFonts w:ascii="Arial" w:hAnsi="Arial"/>
        <w:color w:val="404040"/>
        <w:sz w:val="22"/>
      </w:rPr>
      <w:tcPr>
        <w:shd w:val="clear" w:color="ffffff" w:themeColor="accent2" w:themeTint="40" w:fill="efd3d2" w:themeFill="accent2" w:themeFillTint="40"/>
      </w:tcPr>
    </w:tblStylePr>
    <w:tblStylePr w:type="band1Vert">
      <w:rPr>
        <w:rFonts w:ascii="Arial" w:hAnsi="Arial"/>
        <w:color w:val="404040"/>
        <w:sz w:val="22"/>
      </w:rPr>
      <w:tcPr>
        <w:shd w:val="clear" w:color="ffffff" w:themeColor="accent2" w:themeTint="40" w:fill="efd3d2" w:themeFill="accent2"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2" w:themeTint="90" w:sz="4" w:space="0"/>
          <w:left w:val="none" w:color="000000" w:sz="4" w:space="0"/>
          <w:bottom w:val="single" w:color="000000" w:themeColor="accent2"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2" w:themeTint="90" w:sz="4" w:space="0"/>
          <w:left w:val="none" w:color="000000" w:sz="4" w:space="0"/>
          <w:bottom w:val="single" w:color="000000" w:themeColor="accent2" w:themeTint="90" w:sz="4" w:space="0"/>
          <w:right w:val="none" w:color="000000" w:sz="4" w:space="0"/>
        </w:tcBorders>
      </w:tcPr>
    </w:tblStylePr>
  </w:style>
  <w:style w:type="table" w:styleId="866">
    <w:name w:val="List Table 2 - Accent 3"/>
    <w:basedOn w:val="947"/>
    <w:uiPriority w:val="99"/>
    <w:pPr>
      <w:spacing w:after="0" w:line="240" w:lineRule="auto"/>
    </w:pPr>
    <w:tblPr>
      <w:tblStyleRowBandSize w:val="1"/>
      <w:tblStyleColBandSize w:val="1"/>
      <w:tblInd w:w="0" w:type="dxa"/>
      <w:tblBorders>
        <w:top w:val="single" w:color="000000" w:themeColor="accent3" w:themeTint="90" w:sz="4" w:space="0"/>
        <w:bottom w:val="single" w:color="000000" w:themeColor="accent3" w:themeTint="90" w:sz="4" w:space="0"/>
        <w:insideH w:val="single" w:color="000000" w:themeColor="accent3" w:themeTint="90" w:sz="4" w:space="0"/>
      </w:tblBorders>
    </w:tblPr>
    <w:tblStylePr w:type="band1Horz">
      <w:rPr>
        <w:rFonts w:ascii="Arial" w:hAnsi="Arial"/>
        <w:color w:val="404040"/>
        <w:sz w:val="22"/>
      </w:rPr>
      <w:tcPr>
        <w:shd w:val="clear" w:color="ffffff" w:themeColor="accent3" w:themeTint="40" w:fill="e6eed5" w:themeFill="accent3" w:themeFillTint="40"/>
      </w:tcPr>
    </w:tblStylePr>
    <w:tblStylePr w:type="band1Vert">
      <w:rPr>
        <w:rFonts w:ascii="Arial" w:hAnsi="Arial"/>
        <w:color w:val="404040"/>
        <w:sz w:val="22"/>
      </w:rPr>
      <w:tcPr>
        <w:shd w:val="clear" w:color="ffffff" w:themeColor="accent3" w:themeTint="40" w:fill="e6eed5" w:themeFill="accent3"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3" w:themeTint="90" w:sz="4" w:space="0"/>
          <w:left w:val="none" w:color="000000" w:sz="4" w:space="0"/>
          <w:bottom w:val="single" w:color="000000" w:themeColor="accent3"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3" w:themeTint="90" w:sz="4" w:space="0"/>
          <w:left w:val="none" w:color="000000" w:sz="4" w:space="0"/>
          <w:bottom w:val="single" w:color="000000" w:themeColor="accent3" w:themeTint="90" w:sz="4" w:space="0"/>
          <w:right w:val="none" w:color="000000" w:sz="4" w:space="0"/>
        </w:tcBorders>
      </w:tcPr>
    </w:tblStylePr>
  </w:style>
  <w:style w:type="table" w:styleId="867">
    <w:name w:val="List Table 2 - Accent 4"/>
    <w:basedOn w:val="947"/>
    <w:uiPriority w:val="99"/>
    <w:pPr>
      <w:spacing w:after="0" w:line="240" w:lineRule="auto"/>
    </w:pPr>
    <w:tblPr>
      <w:tblStyleRowBandSize w:val="1"/>
      <w:tblStyleColBandSize w:val="1"/>
      <w:tblInd w:w="0" w:type="dxa"/>
      <w:tblBorders>
        <w:top w:val="single" w:color="000000" w:themeColor="accent4" w:themeTint="90" w:sz="4" w:space="0"/>
        <w:bottom w:val="single" w:color="000000" w:themeColor="accent4" w:themeTint="90" w:sz="4" w:space="0"/>
        <w:insideH w:val="single" w:color="000000" w:themeColor="accent4" w:themeTint="90" w:sz="4" w:space="0"/>
      </w:tblBorders>
    </w:tblPr>
    <w:tblStylePr w:type="band1Horz">
      <w:rPr>
        <w:rFonts w:ascii="Arial" w:hAnsi="Arial"/>
        <w:color w:val="404040"/>
        <w:sz w:val="22"/>
      </w:rPr>
      <w:tcPr>
        <w:shd w:val="clear" w:color="ffffff" w:themeColor="accent4" w:themeTint="40" w:fill="dfd8e7" w:themeFill="accent4" w:themeFillTint="40"/>
      </w:tcPr>
    </w:tblStylePr>
    <w:tblStylePr w:type="band1Vert">
      <w:rPr>
        <w:rFonts w:ascii="Arial" w:hAnsi="Arial"/>
        <w:color w:val="404040"/>
        <w:sz w:val="22"/>
      </w:rPr>
      <w:tcPr>
        <w:shd w:val="clear" w:color="ffffff" w:themeColor="accent4" w:themeTint="40" w:fill="dfd8e7" w:themeFill="accent4"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4" w:themeTint="90" w:sz="4" w:space="0"/>
          <w:left w:val="none" w:color="000000" w:sz="4" w:space="0"/>
          <w:bottom w:val="single" w:color="000000" w:themeColor="accent4"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4" w:themeTint="90" w:sz="4" w:space="0"/>
          <w:left w:val="none" w:color="000000" w:sz="4" w:space="0"/>
          <w:bottom w:val="single" w:color="000000" w:themeColor="accent4" w:themeTint="90" w:sz="4" w:space="0"/>
          <w:right w:val="none" w:color="000000" w:sz="4" w:space="0"/>
        </w:tcBorders>
      </w:tcPr>
    </w:tblStylePr>
  </w:style>
  <w:style w:type="table" w:styleId="868">
    <w:name w:val="List Table 2 - Accent 5"/>
    <w:basedOn w:val="947"/>
    <w:uiPriority w:val="99"/>
    <w:pPr>
      <w:spacing w:after="0" w:line="240" w:lineRule="auto"/>
    </w:pPr>
    <w:tblPr>
      <w:tblStyleRowBandSize w:val="1"/>
      <w:tblStyleColBandSize w:val="1"/>
      <w:tblInd w:w="0" w:type="dxa"/>
      <w:tblBorders>
        <w:top w:val="single" w:color="000000" w:themeColor="accent5" w:themeTint="90" w:sz="4" w:space="0"/>
        <w:bottom w:val="single" w:color="000000" w:themeColor="accent5" w:themeTint="90" w:sz="4" w:space="0"/>
        <w:insideH w:val="single" w:color="000000" w:themeColor="accent5" w:themeTint="90" w:sz="4" w:space="0"/>
      </w:tblBorders>
    </w:tblPr>
    <w:tblStylePr w:type="band1Horz">
      <w:rPr>
        <w:rFonts w:ascii="Arial" w:hAnsi="Arial"/>
        <w:color w:val="404040"/>
        <w:sz w:val="22"/>
      </w:rPr>
      <w:tcPr>
        <w:shd w:val="clear" w:color="ffffff" w:themeColor="accent5" w:themeTint="40" w:fill="d1eaf0" w:themeFill="accent5" w:themeFillTint="40"/>
      </w:tcPr>
    </w:tblStylePr>
    <w:tblStylePr w:type="band1Vert">
      <w:rPr>
        <w:rFonts w:ascii="Arial" w:hAnsi="Arial"/>
        <w:color w:val="404040"/>
        <w:sz w:val="22"/>
      </w:rPr>
      <w:tcPr>
        <w:shd w:val="clear" w:color="ffffff" w:themeColor="accent5" w:themeTint="40" w:fill="d1eaf0" w:themeFill="accent5"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5" w:themeTint="90" w:sz="4" w:space="0"/>
          <w:left w:val="none" w:color="000000" w:sz="4" w:space="0"/>
          <w:bottom w:val="single" w:color="000000" w:themeColor="accent5"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5" w:themeTint="90" w:sz="4" w:space="0"/>
          <w:left w:val="none" w:color="000000" w:sz="4" w:space="0"/>
          <w:bottom w:val="single" w:color="000000" w:themeColor="accent5" w:themeTint="90" w:sz="4" w:space="0"/>
          <w:right w:val="none" w:color="000000" w:sz="4" w:space="0"/>
        </w:tcBorders>
      </w:tcPr>
    </w:tblStylePr>
  </w:style>
  <w:style w:type="table" w:styleId="869">
    <w:name w:val="List Table 2 - Accent 6"/>
    <w:basedOn w:val="947"/>
    <w:uiPriority w:val="99"/>
    <w:pPr>
      <w:spacing w:after="0" w:line="240" w:lineRule="auto"/>
    </w:pPr>
    <w:tblPr>
      <w:tblStyleRowBandSize w:val="1"/>
      <w:tblStyleColBandSize w:val="1"/>
      <w:tblInd w:w="0" w:type="dxa"/>
      <w:tblBorders>
        <w:top w:val="single" w:color="000000" w:themeColor="accent6" w:themeTint="90" w:sz="4" w:space="0"/>
        <w:bottom w:val="single" w:color="000000" w:themeColor="accent6" w:themeTint="90" w:sz="4" w:space="0"/>
        <w:insideH w:val="single" w:color="000000" w:themeColor="accent6" w:themeTint="90" w:sz="4" w:space="0"/>
      </w:tblBorders>
    </w:tblPr>
    <w:tblStylePr w:type="band1Horz">
      <w:rPr>
        <w:rFonts w:ascii="Arial" w:hAnsi="Arial"/>
        <w:color w:val="404040"/>
        <w:sz w:val="22"/>
      </w:rPr>
      <w:tcPr>
        <w:shd w:val="clear" w:color="ffffff" w:themeColor="accent6" w:themeTint="40" w:fill="fce4d1" w:themeFill="accent6" w:themeFillTint="40"/>
      </w:tcPr>
    </w:tblStylePr>
    <w:tblStylePr w:type="band1Vert">
      <w:rPr>
        <w:rFonts w:ascii="Arial" w:hAnsi="Arial"/>
        <w:color w:val="404040"/>
        <w:sz w:val="22"/>
      </w:rPr>
      <w:tcPr>
        <w:shd w:val="clear" w:color="ffffff" w:themeColor="accent6" w:themeTint="40" w:fill="fce4d1" w:themeFill="accent6"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6" w:themeTint="90" w:sz="4" w:space="0"/>
          <w:left w:val="none" w:color="000000" w:sz="4" w:space="0"/>
          <w:bottom w:val="single" w:color="000000" w:themeColor="accent6"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6" w:themeTint="90" w:sz="4" w:space="0"/>
          <w:left w:val="none" w:color="000000" w:sz="4" w:space="0"/>
          <w:bottom w:val="single" w:color="000000" w:themeColor="accent6" w:themeTint="90" w:sz="4" w:space="0"/>
          <w:right w:val="none" w:color="000000" w:sz="4" w:space="0"/>
        </w:tcBorders>
      </w:tcPr>
    </w:tblStylePr>
  </w:style>
  <w:style w:type="table" w:styleId="870">
    <w:name w:val="List Table 3"/>
    <w:basedOn w:val="947"/>
    <w:uiPriority w:val="99"/>
    <w:pPr>
      <w:spacing w:after="0" w:line="240" w:lineRule="auto"/>
    </w:pPr>
    <w:tblPr>
      <w:tblStyleRowBandSize w:val="1"/>
      <w:tblStyleColBandSize w:val="1"/>
      <w:tblInd w:w="0" w:type="dxa"/>
      <w:tblBorders>
        <w:top w:val="single" w:color="000000" w:themeColor="text1" w:sz="4" w:space="0"/>
        <w:left w:val="single" w:color="000000" w:themeColor="text1" w:sz="4" w:space="0"/>
        <w:bottom w:val="single" w:color="000000" w:themeColor="text1" w:sz="4" w:space="0"/>
        <w:right w:val="single" w:color="000000" w:themeColor="text1" w:sz="4" w:space="0"/>
      </w:tblBorders>
    </w:tblPr>
    <w:tblStylePr w:type="band1Horz">
      <w:rPr>
        <w:rFonts w:ascii="Arial" w:hAnsi="Arial"/>
        <w:color w:val="404040"/>
        <w:sz w:val="22"/>
      </w:rPr>
      <w:tcPr>
        <w:tcBorders>
          <w:top w:val="single" w:color="000000" w:themeColor="text1" w:sz="4" w:space="0"/>
          <w:bottom w:val="single" w:color="000000" w:themeColor="text1" w:sz="4" w:space="0"/>
        </w:tcBorders>
      </w:tcPr>
    </w:tblStylePr>
    <w:tblStylePr w:type="band1Vert">
      <w:rPr>
        <w:rFonts w:ascii="Arial" w:hAnsi="Arial"/>
        <w:color w:val="404040"/>
        <w:sz w:val="22"/>
      </w:rPr>
      <w:tcPr>
        <w:tcBorders>
          <w:left w:val="single" w:color="000000" w:themeColor="text1" w:sz="4" w:space="0"/>
          <w:right w:val="single" w:color="000000" w:themeColor="text1" w:sz="4" w:space="0"/>
        </w:tcBorders>
      </w:tcPr>
    </w:tblStylePr>
    <w:tblStylePr w:type="firstCol">
      <w:rPr>
        <w:b/>
        <w:color w:val="404040"/>
      </w:rPr>
    </w:tblStylePr>
    <w:tblStylePr w:type="firstRow">
      <w:rPr>
        <w:rFonts w:ascii="Arial" w:hAnsi="Arial"/>
        <w:b/>
        <w:color w:val="ffffff"/>
        <w:sz w:val="22"/>
      </w:rPr>
      <w:tcPr>
        <w:shd w:val="clear" w:color="ffffff" w:themeColor="text1" w:fill="000000" w:themeFill="text1"/>
      </w:tcPr>
    </w:tblStylePr>
    <w:tblStylePr w:type="lastCol">
      <w:rPr>
        <w:b/>
        <w:color w:val="404040"/>
      </w:rPr>
    </w:tblStylePr>
    <w:tblStylePr w:type="lastRow">
      <w:rPr>
        <w:b/>
        <w:color w:val="404040"/>
      </w:rPr>
    </w:tblStylePr>
  </w:style>
  <w:style w:type="table" w:styleId="871">
    <w:name w:val="List Table 3 - Accent 1"/>
    <w:basedOn w:val="947"/>
    <w:uiPriority w:val="99"/>
    <w:pPr>
      <w:spacing w:after="0" w:line="240" w:lineRule="auto"/>
    </w:pPr>
    <w:tblPr>
      <w:tblStyleRowBandSize w:val="1"/>
      <w:tblStyleColBandSize w:val="1"/>
      <w:tblInd w:w="0" w:type="dxa"/>
      <w:tblBorders>
        <w:top w:val="single" w:color="000000" w:themeColor="accent1" w:sz="4" w:space="0"/>
        <w:left w:val="single" w:color="000000" w:themeColor="accent1" w:sz="4" w:space="0"/>
        <w:bottom w:val="single" w:color="000000" w:themeColor="accent1" w:sz="4" w:space="0"/>
        <w:right w:val="single" w:color="000000" w:themeColor="accent1" w:sz="4" w:space="0"/>
      </w:tblBorders>
    </w:tblPr>
    <w:tblStylePr w:type="band1Horz">
      <w:rPr>
        <w:rFonts w:ascii="Arial" w:hAnsi="Arial"/>
        <w:color w:val="404040"/>
        <w:sz w:val="22"/>
      </w:rPr>
      <w:tcPr>
        <w:tcBorders>
          <w:top w:val="single" w:color="000000" w:themeColor="accent1" w:sz="4" w:space="0"/>
          <w:bottom w:val="single" w:color="000000" w:themeColor="accent1" w:sz="4" w:space="0"/>
        </w:tcBorders>
      </w:tcPr>
    </w:tblStylePr>
    <w:tblStylePr w:type="band1Vert">
      <w:rPr>
        <w:rFonts w:ascii="Arial" w:hAnsi="Arial"/>
        <w:color w:val="404040"/>
        <w:sz w:val="22"/>
      </w:rPr>
      <w:tcPr>
        <w:tcBorders>
          <w:left w:val="single" w:color="000000" w:themeColor="accent1" w:sz="4" w:space="0"/>
          <w:right w:val="single" w:color="000000" w:themeColor="accent1" w:sz="4" w:space="0"/>
        </w:tcBorders>
      </w:tcPr>
    </w:tblStylePr>
    <w:tblStylePr w:type="firstCol">
      <w:rPr>
        <w:b/>
        <w:color w:val="404040"/>
      </w:rPr>
    </w:tblStylePr>
    <w:tblStylePr w:type="firstRow">
      <w:rPr>
        <w:rFonts w:ascii="Arial" w:hAnsi="Arial"/>
        <w:b/>
        <w:color w:val="ffffff"/>
        <w:sz w:val="22"/>
      </w:rPr>
      <w:tcPr>
        <w:shd w:val="clear" w:color="ffffff" w:themeColor="accent1" w:fill="4f81bd" w:themeFill="accent1"/>
      </w:tcPr>
    </w:tblStylePr>
    <w:tblStylePr w:type="lastCol">
      <w:rPr>
        <w:b/>
        <w:color w:val="404040"/>
      </w:rPr>
    </w:tblStylePr>
    <w:tblStylePr w:type="lastRow">
      <w:rPr>
        <w:b/>
        <w:color w:val="404040"/>
      </w:rPr>
    </w:tblStylePr>
  </w:style>
  <w:style w:type="table" w:styleId="872">
    <w:name w:val="List Table 3 - Accent 2"/>
    <w:basedOn w:val="947"/>
    <w:uiPriority w:val="99"/>
    <w:pPr>
      <w:spacing w:after="0" w:line="240" w:lineRule="auto"/>
    </w:pPr>
    <w:tblPr>
      <w:tblStyleRowBandSize w:val="1"/>
      <w:tblStyleColBandSize w:val="1"/>
      <w:tblInd w:w="0" w:type="dxa"/>
      <w:tbl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tblBorders>
    </w:tblPr>
    <w:tblStylePr w:type="band1Horz">
      <w:rPr>
        <w:rFonts w:ascii="Arial" w:hAnsi="Arial"/>
        <w:color w:val="404040"/>
        <w:sz w:val="22"/>
      </w:rPr>
      <w:tcPr>
        <w:tcBorders>
          <w:top w:val="single" w:color="000000" w:themeColor="accent2" w:themeTint="97" w:sz="4" w:space="0"/>
          <w:bottom w:val="single" w:color="000000" w:themeColor="accent2" w:themeTint="97" w:sz="4" w:space="0"/>
        </w:tcBorders>
      </w:tcPr>
    </w:tblStylePr>
    <w:tblStylePr w:type="band1Vert">
      <w:rPr>
        <w:rFonts w:ascii="Arial" w:hAnsi="Arial"/>
        <w:color w:val="404040"/>
        <w:sz w:val="22"/>
      </w:rPr>
      <w:tcPr>
        <w:tcBorders>
          <w:left w:val="single" w:color="000000" w:themeColor="accent2" w:themeTint="97" w:sz="4" w:space="0"/>
          <w:right w:val="single" w:color="000000" w:themeColor="accent2" w:themeTint="97" w:sz="4" w:space="0"/>
        </w:tcBorders>
      </w:tcPr>
    </w:tblStylePr>
    <w:tblStylePr w:type="firstCol">
      <w:rPr>
        <w:b/>
        <w:color w:val="404040"/>
      </w:rPr>
    </w:tblStylePr>
    <w:tblStylePr w:type="firstRow">
      <w:rPr>
        <w:rFonts w:ascii="Arial" w:hAnsi="Arial"/>
        <w:b/>
        <w:color w:val="ffffff"/>
        <w:sz w:val="22"/>
      </w:rPr>
      <w:tcPr>
        <w:shd w:val="clear" w:color="ffffff" w:themeColor="accent2" w:themeTint="97" w:fill="d99694" w:themeFill="accent2" w:themeFillTint="97"/>
      </w:tcPr>
    </w:tblStylePr>
    <w:tblStylePr w:type="lastCol">
      <w:rPr>
        <w:b/>
        <w:color w:val="404040"/>
      </w:rPr>
    </w:tblStylePr>
    <w:tblStylePr w:type="lastRow">
      <w:rPr>
        <w:b/>
        <w:color w:val="404040"/>
      </w:rPr>
    </w:tblStylePr>
  </w:style>
  <w:style w:type="table" w:styleId="873">
    <w:name w:val="List Table 3 - Accent 3"/>
    <w:basedOn w:val="947"/>
    <w:uiPriority w:val="99"/>
    <w:pPr>
      <w:spacing w:after="0" w:line="240" w:lineRule="auto"/>
    </w:pPr>
    <w:tblPr>
      <w:tblStyleRowBandSize w:val="1"/>
      <w:tblStyleColBandSize w:val="1"/>
      <w:tblInd w:w="0" w:type="dxa"/>
      <w:tblBorders>
        <w:top w:val="single" w:color="000000" w:themeColor="accent3" w:themeTint="98" w:sz="4" w:space="0"/>
        <w:left w:val="single" w:color="000000" w:themeColor="accent3" w:themeTint="98" w:sz="4" w:space="0"/>
        <w:bottom w:val="single" w:color="000000" w:themeColor="accent3" w:themeTint="98" w:sz="4" w:space="0"/>
        <w:right w:val="single" w:color="000000" w:themeColor="accent3" w:themeTint="98" w:sz="4" w:space="0"/>
      </w:tblBorders>
    </w:tblPr>
    <w:tblStylePr w:type="band1Horz">
      <w:rPr>
        <w:rFonts w:ascii="Arial" w:hAnsi="Arial"/>
        <w:color w:val="404040"/>
        <w:sz w:val="22"/>
      </w:rPr>
      <w:tcPr>
        <w:tcBorders>
          <w:top w:val="single" w:color="000000" w:themeColor="accent3" w:themeTint="98" w:sz="4" w:space="0"/>
          <w:bottom w:val="single" w:color="000000" w:themeColor="accent3" w:themeTint="98" w:sz="4" w:space="0"/>
        </w:tcBorders>
      </w:tcPr>
    </w:tblStylePr>
    <w:tblStylePr w:type="band1Vert">
      <w:rPr>
        <w:rFonts w:ascii="Arial" w:hAnsi="Arial"/>
        <w:color w:val="404040"/>
        <w:sz w:val="22"/>
      </w:rPr>
      <w:tcPr>
        <w:tcBorders>
          <w:left w:val="single" w:color="000000" w:themeColor="accent3" w:themeTint="98" w:sz="4" w:space="0"/>
          <w:right w:val="single" w:color="000000" w:themeColor="accent3" w:themeTint="98" w:sz="4" w:space="0"/>
        </w:tcBorders>
      </w:tcPr>
    </w:tblStylePr>
    <w:tblStylePr w:type="firstCol">
      <w:rPr>
        <w:b/>
        <w:color w:val="404040"/>
      </w:rPr>
    </w:tblStylePr>
    <w:tblStylePr w:type="firstRow">
      <w:rPr>
        <w:rFonts w:ascii="Arial" w:hAnsi="Arial"/>
        <w:b/>
        <w:color w:val="ffffff"/>
        <w:sz w:val="22"/>
      </w:rPr>
      <w:tcPr>
        <w:shd w:val="clear" w:color="ffffff" w:themeColor="accent3" w:themeTint="98" w:fill="c3d69b" w:themeFill="accent3" w:themeFillTint="98"/>
      </w:tcPr>
    </w:tblStylePr>
    <w:tblStylePr w:type="lastCol">
      <w:rPr>
        <w:b/>
        <w:color w:val="404040"/>
      </w:rPr>
    </w:tblStylePr>
    <w:tblStylePr w:type="lastRow">
      <w:rPr>
        <w:b/>
        <w:color w:val="404040"/>
      </w:rPr>
    </w:tblStylePr>
  </w:style>
  <w:style w:type="table" w:styleId="874">
    <w:name w:val="List Table 3 - Accent 4"/>
    <w:basedOn w:val="947"/>
    <w:uiPriority w:val="99"/>
    <w:pPr>
      <w:spacing w:after="0" w:line="240" w:lineRule="auto"/>
    </w:pPr>
    <w:tblPr>
      <w:tblStyleRowBandSize w:val="1"/>
      <w:tblStyleColBandSize w:val="1"/>
      <w:tblInd w:w="0" w:type="dxa"/>
      <w:tbl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tblBorders>
    </w:tblPr>
    <w:tblStylePr w:type="band1Horz">
      <w:rPr>
        <w:rFonts w:ascii="Arial" w:hAnsi="Arial"/>
        <w:color w:val="404040"/>
        <w:sz w:val="22"/>
      </w:rPr>
      <w:tcPr>
        <w:tcBorders>
          <w:top w:val="single" w:color="000000" w:themeColor="accent4" w:themeTint="9A" w:sz="4" w:space="0"/>
          <w:bottom w:val="single" w:color="000000" w:themeColor="accent4" w:themeTint="9A" w:sz="4" w:space="0"/>
        </w:tcBorders>
      </w:tcPr>
    </w:tblStylePr>
    <w:tblStylePr w:type="band1Vert">
      <w:rPr>
        <w:rFonts w:ascii="Arial" w:hAnsi="Arial"/>
        <w:color w:val="404040"/>
        <w:sz w:val="22"/>
      </w:rPr>
      <w:tcPr>
        <w:tcBorders>
          <w:left w:val="single" w:color="000000" w:themeColor="accent4" w:themeTint="9A" w:sz="4" w:space="0"/>
          <w:right w:val="single" w:color="000000" w:themeColor="accent4" w:themeTint="9A" w:sz="4" w:space="0"/>
        </w:tcBorders>
      </w:tcPr>
    </w:tblStylePr>
    <w:tblStylePr w:type="firstCol">
      <w:rPr>
        <w:b/>
        <w:color w:val="404040"/>
      </w:rPr>
    </w:tblStylePr>
    <w:tblStylePr w:type="firstRow">
      <w:rPr>
        <w:rFonts w:ascii="Arial" w:hAnsi="Arial"/>
        <w:b/>
        <w:color w:val="ffffff"/>
        <w:sz w:val="22"/>
      </w:rPr>
      <w:tcPr>
        <w:shd w:val="clear" w:color="ffffff" w:themeColor="accent4" w:themeTint="9A" w:fill="b2a1c6" w:themeFill="accent4" w:themeFillTint="9A"/>
      </w:tcPr>
    </w:tblStylePr>
    <w:tblStylePr w:type="lastCol">
      <w:rPr>
        <w:b/>
        <w:color w:val="404040"/>
      </w:rPr>
    </w:tblStylePr>
    <w:tblStylePr w:type="lastRow">
      <w:rPr>
        <w:b/>
        <w:color w:val="404040"/>
      </w:rPr>
    </w:tblStylePr>
  </w:style>
  <w:style w:type="table" w:styleId="875">
    <w:name w:val="List Table 3 - Accent 5"/>
    <w:basedOn w:val="947"/>
    <w:uiPriority w:val="99"/>
    <w:pPr>
      <w:spacing w:after="0" w:line="240" w:lineRule="auto"/>
    </w:pPr>
    <w:tblPr>
      <w:tblStyleRowBandSize w:val="1"/>
      <w:tblStyleColBandSize w:val="1"/>
      <w:tblInd w:w="0" w:type="dxa"/>
      <w:tblBorders>
        <w:top w:val="single" w:color="000000" w:themeColor="accent5" w:themeTint="9A" w:sz="4" w:space="0"/>
        <w:left w:val="single" w:color="000000" w:themeColor="accent5" w:themeTint="9A" w:sz="4" w:space="0"/>
        <w:bottom w:val="single" w:color="000000" w:themeColor="accent5" w:themeTint="9A" w:sz="4" w:space="0"/>
        <w:right w:val="single" w:color="000000" w:themeColor="accent5" w:themeTint="9A" w:sz="4" w:space="0"/>
      </w:tblBorders>
    </w:tblPr>
    <w:tblStylePr w:type="band1Horz">
      <w:rPr>
        <w:rFonts w:ascii="Arial" w:hAnsi="Arial"/>
        <w:color w:val="404040"/>
        <w:sz w:val="22"/>
      </w:rPr>
      <w:tcPr>
        <w:tcBorders>
          <w:top w:val="single" w:color="000000" w:themeColor="accent5" w:themeTint="9A" w:sz="4" w:space="0"/>
          <w:bottom w:val="single" w:color="000000" w:themeColor="accent5" w:themeTint="9A" w:sz="4" w:space="0"/>
        </w:tcBorders>
      </w:tcPr>
    </w:tblStylePr>
    <w:tblStylePr w:type="band1Vert">
      <w:rPr>
        <w:rFonts w:ascii="Arial" w:hAnsi="Arial"/>
        <w:color w:val="404040"/>
        <w:sz w:val="22"/>
      </w:rPr>
      <w:tcPr>
        <w:tcBorders>
          <w:left w:val="single" w:color="000000" w:themeColor="accent5" w:themeTint="9A" w:sz="4" w:space="0"/>
          <w:right w:val="single" w:color="000000" w:themeColor="accent5" w:themeTint="9A" w:sz="4" w:space="0"/>
        </w:tcBorders>
      </w:tcPr>
    </w:tblStylePr>
    <w:tblStylePr w:type="firstCol">
      <w:rPr>
        <w:b/>
        <w:color w:val="404040"/>
      </w:rPr>
    </w:tblStylePr>
    <w:tblStylePr w:type="firstRow">
      <w:rPr>
        <w:rFonts w:ascii="Arial" w:hAnsi="Arial"/>
        <w:b/>
        <w:color w:val="ffffff"/>
        <w:sz w:val="22"/>
      </w:rPr>
      <w:tcPr>
        <w:shd w:val="clear" w:color="ffffff" w:themeColor="accent5" w:themeTint="9A" w:fill="91cddc" w:themeFill="accent5" w:themeFillTint="9A"/>
      </w:tcPr>
    </w:tblStylePr>
    <w:tblStylePr w:type="lastCol">
      <w:rPr>
        <w:b/>
        <w:color w:val="404040"/>
      </w:rPr>
    </w:tblStylePr>
    <w:tblStylePr w:type="lastRow">
      <w:rPr>
        <w:b/>
        <w:color w:val="404040"/>
      </w:rPr>
    </w:tblStylePr>
  </w:style>
  <w:style w:type="table" w:styleId="876">
    <w:name w:val="List Table 3 - Accent 6"/>
    <w:basedOn w:val="947"/>
    <w:uiPriority w:val="99"/>
    <w:pPr>
      <w:spacing w:after="0" w:line="240" w:lineRule="auto"/>
    </w:pPr>
    <w:tblPr>
      <w:tblStyleRowBandSize w:val="1"/>
      <w:tblStyleColBandSize w:val="1"/>
      <w:tblInd w:w="0" w:type="dxa"/>
      <w:tblBorders>
        <w:top w:val="single" w:color="000000" w:themeColor="accent6" w:themeTint="98" w:sz="4" w:space="0"/>
        <w:left w:val="single" w:color="000000" w:themeColor="accent6" w:themeTint="98" w:sz="4" w:space="0"/>
        <w:bottom w:val="single" w:color="000000" w:themeColor="accent6" w:themeTint="98" w:sz="4" w:space="0"/>
        <w:right w:val="single" w:color="000000" w:themeColor="accent6" w:themeTint="98" w:sz="4" w:space="0"/>
      </w:tblBorders>
    </w:tblPr>
    <w:tblStylePr w:type="band1Horz">
      <w:rPr>
        <w:rFonts w:ascii="Arial" w:hAnsi="Arial"/>
        <w:color w:val="404040"/>
        <w:sz w:val="22"/>
      </w:rPr>
      <w:tcPr>
        <w:tcBorders>
          <w:top w:val="single" w:color="000000" w:themeColor="accent6" w:themeTint="98" w:sz="4" w:space="0"/>
          <w:bottom w:val="single" w:color="000000" w:themeColor="accent6" w:themeTint="98" w:sz="4" w:space="0"/>
        </w:tcBorders>
      </w:tcPr>
    </w:tblStylePr>
    <w:tblStylePr w:type="band1Vert">
      <w:rPr>
        <w:rFonts w:ascii="Arial" w:hAnsi="Arial"/>
        <w:color w:val="404040"/>
        <w:sz w:val="22"/>
      </w:rPr>
      <w:tcPr>
        <w:tcBorders>
          <w:left w:val="single" w:color="000000" w:themeColor="accent6" w:themeTint="98" w:sz="4" w:space="0"/>
          <w:right w:val="single" w:color="000000" w:themeColor="accent6" w:themeTint="98" w:sz="4" w:space="0"/>
        </w:tcBorders>
      </w:tcPr>
    </w:tblStylePr>
    <w:tblStylePr w:type="firstCol">
      <w:rPr>
        <w:b/>
        <w:color w:val="404040"/>
      </w:rPr>
    </w:tblStylePr>
    <w:tblStylePr w:type="firstRow">
      <w:rPr>
        <w:rFonts w:ascii="Arial" w:hAnsi="Arial"/>
        <w:b/>
        <w:color w:val="ffffff"/>
        <w:sz w:val="22"/>
      </w:rPr>
      <w:tcPr>
        <w:shd w:val="clear" w:color="ffffff" w:themeColor="accent6" w:themeTint="98" w:fill="f9bf90" w:themeFill="accent6" w:themeFillTint="98"/>
      </w:tcPr>
    </w:tblStylePr>
    <w:tblStylePr w:type="lastCol">
      <w:rPr>
        <w:b/>
        <w:color w:val="404040"/>
      </w:rPr>
    </w:tblStylePr>
    <w:tblStylePr w:type="lastRow">
      <w:rPr>
        <w:b/>
        <w:color w:val="404040"/>
      </w:rPr>
    </w:tblStylePr>
  </w:style>
  <w:style w:type="table" w:styleId="877">
    <w:name w:val="List Table 4"/>
    <w:basedOn w:val="947"/>
    <w:uiPriority w:val="99"/>
    <w:pPr>
      <w:spacing w:after="0" w:line="240" w:lineRule="auto"/>
    </w:pPr>
    <w:tblPr>
      <w:tblStyleRowBandSize w:val="1"/>
      <w:tblStyleColBandSize w:val="1"/>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tblBorders>
    </w:tblPr>
    <w:tblStylePr w:type="band1Horz">
      <w:rPr>
        <w:rFonts w:ascii="Arial" w:hAnsi="Arial"/>
        <w:color w:val="404040"/>
        <w:sz w:val="22"/>
      </w:rPr>
      <w:tcPr>
        <w:shd w:val="clear" w:color="ffffff" w:themeColor="text1" w:themeTint="40" w:fill="bfbfbf" w:themeFill="text1" w:themeFillTint="40"/>
      </w:tcPr>
    </w:tblStylePr>
    <w:tblStylePr w:type="band1Vert">
      <w:rPr>
        <w:rFonts w:ascii="Arial" w:hAnsi="Arial"/>
        <w:color w:val="404040"/>
        <w:sz w:val="22"/>
      </w:rPr>
      <w:tcPr>
        <w:shd w:val="clear" w:color="ffffff" w:themeColor="text1" w:themeTint="40" w:fill="bfbfbf" w:themeFill="text1" w:themeFillTint="40"/>
      </w:tcPr>
    </w:tblStylePr>
    <w:tblStylePr w:type="firstCol">
      <w:rPr>
        <w:b/>
        <w:color w:val="404040"/>
      </w:rPr>
    </w:tblStylePr>
    <w:tblStylePr w:type="firstRow">
      <w:rPr>
        <w:rFonts w:ascii="Arial" w:hAnsi="Arial"/>
        <w:b/>
        <w:color w:val="ffffff"/>
        <w:sz w:val="22"/>
      </w:rPr>
      <w:tcPr>
        <w:shd w:val="clear" w:color="ffffff" w:themeColor="text1" w:fill="000000" w:themeFill="text1"/>
      </w:tcPr>
    </w:tblStylePr>
    <w:tblStylePr w:type="lastCol">
      <w:rPr>
        <w:b/>
        <w:color w:val="404040"/>
      </w:rPr>
    </w:tblStylePr>
    <w:tblStylePr w:type="lastRow">
      <w:rPr>
        <w:b/>
        <w:color w:val="404040"/>
      </w:rPr>
    </w:tblStylePr>
  </w:style>
  <w:style w:type="table" w:styleId="878">
    <w:name w:val="List Table 4 - Accent 1"/>
    <w:basedOn w:val="947"/>
    <w:uiPriority w:val="99"/>
    <w:pPr>
      <w:spacing w:after="0" w:line="240" w:lineRule="auto"/>
    </w:pPr>
    <w:tblPr>
      <w:tblStyleRowBandSize w:val="1"/>
      <w:tblStyleColBandSize w:val="1"/>
      <w:tblInd w:w="0" w:type="dxa"/>
      <w:tblBorders>
        <w:top w:val="single" w:color="000000" w:themeColor="accent1" w:themeTint="90" w:sz="4" w:space="0"/>
        <w:left w:val="single" w:color="000000" w:themeColor="accent1" w:themeTint="90" w:sz="4" w:space="0"/>
        <w:bottom w:val="single" w:color="000000" w:themeColor="accent1" w:themeTint="90" w:sz="4" w:space="0"/>
        <w:right w:val="single" w:color="000000" w:themeColor="accent1" w:themeTint="90" w:sz="4" w:space="0"/>
        <w:insideH w:val="single" w:color="000000" w:themeColor="accent1" w:themeTint="90" w:sz="4" w:space="0"/>
      </w:tblBorders>
    </w:tblPr>
    <w:tblStylePr w:type="band1Horz">
      <w:rPr>
        <w:rFonts w:ascii="Arial" w:hAnsi="Arial"/>
        <w:color w:val="404040"/>
        <w:sz w:val="22"/>
      </w:rPr>
      <w:tcPr>
        <w:shd w:val="clear" w:color="ffffff" w:themeColor="accent1" w:themeTint="40" w:fill="d3e0ee" w:themeFill="accent1" w:themeFillTint="40"/>
      </w:tcPr>
    </w:tblStylePr>
    <w:tblStylePr w:type="band1Vert">
      <w:rPr>
        <w:rFonts w:ascii="Arial" w:hAnsi="Arial"/>
        <w:color w:val="404040"/>
        <w:sz w:val="22"/>
      </w:rPr>
      <w:tcPr>
        <w:shd w:val="clear" w:color="ffffff" w:themeColor="accent1" w:themeTint="40" w:fill="d3e0ee" w:themeFill="accent1" w:themeFillTint="40"/>
      </w:tcPr>
    </w:tblStylePr>
    <w:tblStylePr w:type="firstCol">
      <w:rPr>
        <w:b/>
        <w:color w:val="404040"/>
      </w:rPr>
    </w:tblStylePr>
    <w:tblStylePr w:type="firstRow">
      <w:rPr>
        <w:rFonts w:ascii="Arial" w:hAnsi="Arial"/>
        <w:b/>
        <w:color w:val="ffffff"/>
        <w:sz w:val="22"/>
      </w:rPr>
      <w:tcPr>
        <w:shd w:val="clear" w:color="ffffff" w:themeColor="accent1" w:fill="4f81bd" w:themeFill="accent1"/>
      </w:tcPr>
    </w:tblStylePr>
    <w:tblStylePr w:type="lastCol">
      <w:rPr>
        <w:b/>
        <w:color w:val="404040"/>
      </w:rPr>
    </w:tblStylePr>
    <w:tblStylePr w:type="lastRow">
      <w:rPr>
        <w:b/>
        <w:color w:val="404040"/>
      </w:rPr>
    </w:tblStylePr>
  </w:style>
  <w:style w:type="table" w:styleId="879">
    <w:name w:val="List Table 4 - Accent 2"/>
    <w:basedOn w:val="947"/>
    <w:uiPriority w:val="99"/>
    <w:pPr>
      <w:spacing w:after="0" w:line="240" w:lineRule="auto"/>
    </w:pPr>
    <w:tblPr>
      <w:tblStyleRowBandSize w:val="1"/>
      <w:tblStyleColBandSize w:val="1"/>
      <w:tblInd w:w="0" w:type="dxa"/>
      <w:tblBorders>
        <w:top w:val="single" w:color="000000" w:themeColor="accent2" w:themeTint="90" w:sz="4" w:space="0"/>
        <w:left w:val="single" w:color="000000" w:themeColor="accent2" w:themeTint="90" w:sz="4" w:space="0"/>
        <w:bottom w:val="single" w:color="000000" w:themeColor="accent2" w:themeTint="90" w:sz="4" w:space="0"/>
        <w:right w:val="single" w:color="000000" w:themeColor="accent2" w:themeTint="90" w:sz="4" w:space="0"/>
        <w:insideH w:val="single" w:color="000000" w:themeColor="accent2" w:themeTint="90" w:sz="4" w:space="0"/>
      </w:tblBorders>
    </w:tblPr>
    <w:tblStylePr w:type="band1Horz">
      <w:rPr>
        <w:rFonts w:ascii="Arial" w:hAnsi="Arial"/>
        <w:color w:val="404040"/>
        <w:sz w:val="22"/>
      </w:rPr>
      <w:tcPr>
        <w:shd w:val="clear" w:color="ffffff" w:themeColor="accent2" w:themeTint="40" w:fill="efd3d2" w:themeFill="accent2" w:themeFillTint="40"/>
      </w:tcPr>
    </w:tblStylePr>
    <w:tblStylePr w:type="band1Vert">
      <w:rPr>
        <w:rFonts w:ascii="Arial" w:hAnsi="Arial"/>
        <w:color w:val="404040"/>
        <w:sz w:val="22"/>
      </w:rPr>
      <w:tcPr>
        <w:shd w:val="clear" w:color="ffffff" w:themeColor="accent2" w:themeTint="40" w:fill="efd3d2" w:themeFill="accent2" w:themeFillTint="40"/>
      </w:tcPr>
    </w:tblStylePr>
    <w:tblStylePr w:type="firstCol">
      <w:rPr>
        <w:b/>
        <w:color w:val="404040"/>
      </w:rPr>
    </w:tblStylePr>
    <w:tblStylePr w:type="firstRow">
      <w:rPr>
        <w:rFonts w:ascii="Arial" w:hAnsi="Arial"/>
        <w:b/>
        <w:color w:val="ffffff"/>
        <w:sz w:val="22"/>
      </w:rPr>
      <w:tcPr>
        <w:shd w:val="clear" w:color="ffffff" w:themeColor="accent2" w:fill="c0504d" w:themeFill="accent2"/>
      </w:tcPr>
    </w:tblStylePr>
    <w:tblStylePr w:type="lastCol">
      <w:rPr>
        <w:b/>
        <w:color w:val="404040"/>
      </w:rPr>
    </w:tblStylePr>
    <w:tblStylePr w:type="lastRow">
      <w:rPr>
        <w:b/>
        <w:color w:val="404040"/>
      </w:rPr>
    </w:tblStylePr>
  </w:style>
  <w:style w:type="table" w:styleId="880">
    <w:name w:val="List Table 4 - Accent 3"/>
    <w:basedOn w:val="947"/>
    <w:uiPriority w:val="99"/>
    <w:pPr>
      <w:spacing w:after="0" w:line="240" w:lineRule="auto"/>
    </w:pPr>
    <w:tblPr>
      <w:tblStyleRowBandSize w:val="1"/>
      <w:tblStyleColBandSize w:val="1"/>
      <w:tblInd w:w="0" w:type="dxa"/>
      <w:tblBorders>
        <w:top w:val="single" w:color="000000" w:themeColor="accent3" w:themeTint="90" w:sz="4" w:space="0"/>
        <w:left w:val="single" w:color="000000" w:themeColor="accent3" w:themeTint="90" w:sz="4" w:space="0"/>
        <w:bottom w:val="single" w:color="000000" w:themeColor="accent3" w:themeTint="90" w:sz="4" w:space="0"/>
        <w:right w:val="single" w:color="000000" w:themeColor="accent3" w:themeTint="90" w:sz="4" w:space="0"/>
        <w:insideH w:val="single" w:color="000000" w:themeColor="accent3" w:themeTint="90" w:sz="4" w:space="0"/>
      </w:tblBorders>
    </w:tblPr>
    <w:tblStylePr w:type="band1Horz">
      <w:rPr>
        <w:rFonts w:ascii="Arial" w:hAnsi="Arial"/>
        <w:color w:val="404040"/>
        <w:sz w:val="22"/>
      </w:rPr>
      <w:tcPr>
        <w:shd w:val="clear" w:color="ffffff" w:themeColor="accent3" w:themeTint="40" w:fill="e6eed5" w:themeFill="accent3" w:themeFillTint="40"/>
      </w:tcPr>
    </w:tblStylePr>
    <w:tblStylePr w:type="band1Vert">
      <w:rPr>
        <w:rFonts w:ascii="Arial" w:hAnsi="Arial"/>
        <w:color w:val="404040"/>
        <w:sz w:val="22"/>
      </w:rPr>
      <w:tcPr>
        <w:shd w:val="clear" w:color="ffffff" w:themeColor="accent3" w:themeTint="40" w:fill="e6eed5" w:themeFill="accent3" w:themeFillTint="40"/>
      </w:tcPr>
    </w:tblStylePr>
    <w:tblStylePr w:type="firstCol">
      <w:rPr>
        <w:b/>
        <w:color w:val="404040"/>
      </w:rPr>
    </w:tblStylePr>
    <w:tblStylePr w:type="firstRow">
      <w:rPr>
        <w:rFonts w:ascii="Arial" w:hAnsi="Arial"/>
        <w:b/>
        <w:color w:val="ffffff"/>
        <w:sz w:val="22"/>
      </w:rPr>
      <w:tcPr>
        <w:shd w:val="clear" w:color="ffffff" w:themeColor="accent3" w:fill="9bbb59" w:themeFill="accent3"/>
      </w:tcPr>
    </w:tblStylePr>
    <w:tblStylePr w:type="lastCol">
      <w:rPr>
        <w:b/>
        <w:color w:val="404040"/>
      </w:rPr>
    </w:tblStylePr>
    <w:tblStylePr w:type="lastRow">
      <w:rPr>
        <w:b/>
        <w:color w:val="404040"/>
      </w:rPr>
    </w:tblStylePr>
  </w:style>
  <w:style w:type="table" w:styleId="881">
    <w:name w:val="List Table 4 - Accent 4"/>
    <w:basedOn w:val="947"/>
    <w:uiPriority w:val="99"/>
    <w:pPr>
      <w:spacing w:after="0" w:line="240" w:lineRule="auto"/>
    </w:pPr>
    <w:tblPr>
      <w:tblStyleRowBandSize w:val="1"/>
      <w:tblStyleColBandSize w:val="1"/>
      <w:tblInd w:w="0" w:type="dxa"/>
      <w:tblBorders>
        <w:top w:val="single" w:color="000000" w:themeColor="accent4" w:themeTint="90" w:sz="4" w:space="0"/>
        <w:left w:val="single" w:color="000000" w:themeColor="accent4" w:themeTint="90" w:sz="4" w:space="0"/>
        <w:bottom w:val="single" w:color="000000" w:themeColor="accent4" w:themeTint="90" w:sz="4" w:space="0"/>
        <w:right w:val="single" w:color="000000" w:themeColor="accent4" w:themeTint="90" w:sz="4" w:space="0"/>
        <w:insideH w:val="single" w:color="000000" w:themeColor="accent4" w:themeTint="90" w:sz="4" w:space="0"/>
      </w:tblBorders>
    </w:tblPr>
    <w:tblStylePr w:type="band1Horz">
      <w:rPr>
        <w:rFonts w:ascii="Arial" w:hAnsi="Arial"/>
        <w:color w:val="404040"/>
        <w:sz w:val="22"/>
      </w:rPr>
      <w:tcPr>
        <w:shd w:val="clear" w:color="ffffff" w:themeColor="accent4" w:themeTint="40" w:fill="dfd8e7" w:themeFill="accent4" w:themeFillTint="40"/>
      </w:tcPr>
    </w:tblStylePr>
    <w:tblStylePr w:type="band1Vert">
      <w:rPr>
        <w:rFonts w:ascii="Arial" w:hAnsi="Arial"/>
        <w:color w:val="404040"/>
        <w:sz w:val="22"/>
      </w:rPr>
      <w:tcPr>
        <w:shd w:val="clear" w:color="ffffff" w:themeColor="accent4" w:themeTint="40" w:fill="dfd8e7" w:themeFill="accent4" w:themeFillTint="40"/>
      </w:tcPr>
    </w:tblStylePr>
    <w:tblStylePr w:type="firstCol">
      <w:rPr>
        <w:b/>
        <w:color w:val="404040"/>
      </w:rPr>
    </w:tblStylePr>
    <w:tblStylePr w:type="firstRow">
      <w:rPr>
        <w:rFonts w:ascii="Arial" w:hAnsi="Arial"/>
        <w:b/>
        <w:color w:val="ffffff"/>
        <w:sz w:val="22"/>
      </w:rPr>
      <w:tcPr>
        <w:shd w:val="clear" w:color="ffffff" w:themeColor="accent4" w:fill="8064a2" w:themeFill="accent4"/>
      </w:tcPr>
    </w:tblStylePr>
    <w:tblStylePr w:type="lastCol">
      <w:rPr>
        <w:b/>
        <w:color w:val="404040"/>
      </w:rPr>
    </w:tblStylePr>
    <w:tblStylePr w:type="lastRow">
      <w:rPr>
        <w:b/>
        <w:color w:val="404040"/>
      </w:rPr>
    </w:tblStylePr>
  </w:style>
  <w:style w:type="table" w:styleId="882">
    <w:name w:val="List Table 4 - Accent 5"/>
    <w:basedOn w:val="947"/>
    <w:uiPriority w:val="99"/>
    <w:pPr>
      <w:spacing w:after="0" w:line="240" w:lineRule="auto"/>
    </w:pPr>
    <w:tblPr>
      <w:tblStyleRowBandSize w:val="1"/>
      <w:tblStyleColBandSize w:val="1"/>
      <w:tblInd w:w="0" w:type="dxa"/>
      <w:tblBorders>
        <w:top w:val="single" w:color="000000" w:themeColor="accent5" w:themeTint="90" w:sz="4" w:space="0"/>
        <w:left w:val="single" w:color="000000" w:themeColor="accent5" w:themeTint="90" w:sz="4" w:space="0"/>
        <w:bottom w:val="single" w:color="000000" w:themeColor="accent5" w:themeTint="90" w:sz="4" w:space="0"/>
        <w:right w:val="single" w:color="000000" w:themeColor="accent5" w:themeTint="90" w:sz="4" w:space="0"/>
        <w:insideH w:val="single" w:color="000000" w:themeColor="accent5" w:themeTint="90" w:sz="4" w:space="0"/>
      </w:tblBorders>
    </w:tblPr>
    <w:tblStylePr w:type="band1Horz">
      <w:rPr>
        <w:rFonts w:ascii="Arial" w:hAnsi="Arial"/>
        <w:color w:val="404040"/>
        <w:sz w:val="22"/>
      </w:rPr>
      <w:tcPr>
        <w:shd w:val="clear" w:color="ffffff" w:themeColor="accent5" w:themeTint="40" w:fill="d1eaf0" w:themeFill="accent5" w:themeFillTint="40"/>
      </w:tcPr>
    </w:tblStylePr>
    <w:tblStylePr w:type="band1Vert">
      <w:rPr>
        <w:rFonts w:ascii="Arial" w:hAnsi="Arial"/>
        <w:color w:val="404040"/>
        <w:sz w:val="22"/>
      </w:rPr>
      <w:tcPr>
        <w:shd w:val="clear" w:color="ffffff" w:themeColor="accent5" w:themeTint="40" w:fill="d1eaf0" w:themeFill="accent5" w:themeFillTint="40"/>
      </w:tcPr>
    </w:tblStylePr>
    <w:tblStylePr w:type="firstCol">
      <w:rPr>
        <w:b/>
        <w:color w:val="404040"/>
      </w:rPr>
    </w:tblStylePr>
    <w:tblStylePr w:type="firstRow">
      <w:rPr>
        <w:rFonts w:ascii="Arial" w:hAnsi="Arial"/>
        <w:b/>
        <w:color w:val="ffffff"/>
        <w:sz w:val="22"/>
      </w:rPr>
      <w:tcPr>
        <w:shd w:val="clear" w:color="ffffff" w:themeColor="accent5" w:fill="4bacc6" w:themeFill="accent5"/>
      </w:tcPr>
    </w:tblStylePr>
    <w:tblStylePr w:type="lastCol">
      <w:rPr>
        <w:b/>
        <w:color w:val="404040"/>
      </w:rPr>
    </w:tblStylePr>
    <w:tblStylePr w:type="lastRow">
      <w:rPr>
        <w:b/>
        <w:color w:val="404040"/>
      </w:rPr>
    </w:tblStylePr>
  </w:style>
  <w:style w:type="table" w:styleId="883">
    <w:name w:val="List Table 4 - Accent 6"/>
    <w:basedOn w:val="947"/>
    <w:uiPriority w:val="99"/>
    <w:pPr>
      <w:spacing w:after="0" w:line="240" w:lineRule="auto"/>
    </w:pPr>
    <w:tblPr>
      <w:tblStyleRowBandSize w:val="1"/>
      <w:tblStyleColBandSize w:val="1"/>
      <w:tblInd w:w="0" w:type="dxa"/>
      <w:tblBorders>
        <w:top w:val="single" w:color="000000" w:themeColor="accent6" w:themeTint="90" w:sz="4" w:space="0"/>
        <w:left w:val="single" w:color="000000" w:themeColor="accent6" w:themeTint="90" w:sz="4" w:space="0"/>
        <w:bottom w:val="single" w:color="000000" w:themeColor="accent6" w:themeTint="90" w:sz="4" w:space="0"/>
        <w:right w:val="single" w:color="000000" w:themeColor="accent6" w:themeTint="90" w:sz="4" w:space="0"/>
        <w:insideH w:val="single" w:color="000000" w:themeColor="accent6" w:themeTint="90" w:sz="4" w:space="0"/>
      </w:tblBorders>
    </w:tblPr>
    <w:tblStylePr w:type="band1Horz">
      <w:rPr>
        <w:rFonts w:ascii="Arial" w:hAnsi="Arial"/>
        <w:color w:val="404040"/>
        <w:sz w:val="22"/>
      </w:rPr>
      <w:tcPr>
        <w:shd w:val="clear" w:color="ffffff" w:themeColor="accent6" w:themeTint="40" w:fill="fce4d1" w:themeFill="accent6" w:themeFillTint="40"/>
      </w:tcPr>
    </w:tblStylePr>
    <w:tblStylePr w:type="band1Vert">
      <w:rPr>
        <w:rFonts w:ascii="Arial" w:hAnsi="Arial"/>
        <w:color w:val="404040"/>
        <w:sz w:val="22"/>
      </w:rPr>
      <w:tcPr>
        <w:shd w:val="clear" w:color="ffffff" w:themeColor="accent6" w:themeTint="40" w:fill="fce4d1" w:themeFill="accent6" w:themeFillTint="40"/>
      </w:tcPr>
    </w:tblStylePr>
    <w:tblStylePr w:type="firstCol">
      <w:rPr>
        <w:b/>
        <w:color w:val="404040"/>
      </w:rPr>
    </w:tblStylePr>
    <w:tblStylePr w:type="firstRow">
      <w:rPr>
        <w:rFonts w:ascii="Arial" w:hAnsi="Arial"/>
        <w:b/>
        <w:color w:val="ffffff"/>
        <w:sz w:val="22"/>
      </w:rPr>
      <w:tcPr>
        <w:shd w:val="clear" w:color="ffffff" w:themeColor="accent6" w:fill="f79646" w:themeFill="accent6"/>
      </w:tcPr>
    </w:tblStylePr>
    <w:tblStylePr w:type="lastCol">
      <w:rPr>
        <w:b/>
        <w:color w:val="404040"/>
      </w:rPr>
    </w:tblStylePr>
    <w:tblStylePr w:type="lastRow">
      <w:rPr>
        <w:b/>
        <w:color w:val="404040"/>
      </w:rPr>
    </w:tblStylePr>
  </w:style>
  <w:style w:type="table" w:styleId="884">
    <w:name w:val="List Table 5 Dark"/>
    <w:basedOn w:val="947"/>
    <w:uiPriority w:val="99"/>
    <w:pPr>
      <w:spacing w:after="0" w:line="240" w:lineRule="auto"/>
    </w:pPr>
    <w:tblPr>
      <w:tblStyleRowBandSize w:val="1"/>
      <w:tblStyleColBandSize w:val="1"/>
      <w:tblInd w:w="0" w:type="dxa"/>
      <w:tblBorders>
        <w:top w:val="single" w:color="000000" w:themeColor="text1" w:themeTint="80" w:sz="32" w:space="0"/>
        <w:left w:val="single" w:color="000000" w:themeColor="text1" w:themeTint="80" w:sz="32" w:space="0"/>
        <w:bottom w:val="single" w:color="000000" w:themeColor="text1" w:themeTint="80" w:sz="32" w:space="0"/>
        <w:right w:val="single" w:color="000000" w:themeColor="text1" w:themeTint="80" w:sz="32" w:space="0"/>
      </w:tblBorders>
      <w:shd w:val="clear" w:color="ffffff" w:themeColor="text1" w:themeTint="80" w:fill="7f7f7f" w:themeFill="text1" w:themeFillTint="80"/>
    </w:tblPr>
    <w:tblStylePr w:type="band1Horz">
      <w:tcPr>
        <w:shd w:val="clear" w:color="ffffff" w:themeColor="text1" w:themeTint="80" w:fill="7f7f7f" w:themeFill="text1" w:themeFillTint="80"/>
        <w:tcBorders>
          <w:top w:val="single" w:color="000000" w:themeColor="light1" w:sz="4" w:space="0"/>
          <w:bottom w:val="single" w:color="000000" w:themeColor="light1" w:sz="4" w:space="0"/>
        </w:tcBorders>
      </w:tcPr>
    </w:tblStylePr>
    <w:tblStylePr w:type="band1Vert">
      <w:tcPr>
        <w:shd w:val="clear" w:color="ffffff" w:themeColor="text1" w:themeTint="80" w:fill="7f7f7f" w:themeFill="text1" w:themeFillTint="80"/>
        <w:tcBorders>
          <w:left w:val="single" w:color="000000" w:themeColor="light1" w:sz="4" w:space="0"/>
          <w:right w:val="single" w:color="000000" w:themeColor="light1" w:sz="4" w:space="0"/>
        </w:tcBorders>
      </w:tcPr>
    </w:tblStylePr>
    <w:tblStylePr w:type="band2Horz">
      <w:tcPr>
        <w:shd w:val="clear" w:color="ffffff" w:themeColor="text1" w:themeTint="80" w:fill="7f7f7f" w:themeFill="text1" w:themeFillTint="80"/>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text1" w:themeTint="80" w:sz="32" w:space="0"/>
          <w:right w:val="single" w:color="000000" w:themeColor="light1" w:sz="4" w:space="0"/>
        </w:tcBorders>
      </w:tcPr>
    </w:tblStylePr>
    <w:tblStylePr w:type="firstRow">
      <w:rPr>
        <w:rFonts w:ascii="Arial" w:hAnsi="Arial"/>
        <w:b/>
        <w:color w:val="ffffff" w:themeColor="light1"/>
        <w:sz w:val="22"/>
      </w:rPr>
      <w:tcPr>
        <w:shd w:val="clear" w:color="ffffff" w:themeColor="text1" w:themeTint="80" w:fill="7f7f7f" w:themeFill="text1" w:themeFillTint="80"/>
        <w:tcBorders>
          <w:top w:val="single" w:color="000000" w:themeColor="text1" w:themeTint="80" w:sz="32" w:space="0"/>
          <w:bottom w:val="single" w:color="000000" w:themeColor="light1" w:sz="12" w:space="0"/>
        </w:tcBorders>
      </w:tcPr>
    </w:tblStylePr>
    <w:tblStylePr w:type="lastCol">
      <w:tcPr>
        <w:tcBorders>
          <w:left w:val="single" w:color="000000" w:themeColor="light1" w:sz="4" w:space="0"/>
          <w:right w:val="single" w:color="000000" w:themeColor="text1" w:themeTint="80"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85">
    <w:name w:val="List Table 5 Dark - Accent 1"/>
    <w:basedOn w:val="947"/>
    <w:uiPriority w:val="99"/>
    <w:pPr>
      <w:spacing w:after="0" w:line="240" w:lineRule="auto"/>
    </w:pPr>
    <w:tblPr>
      <w:tblStyleRowBandSize w:val="1"/>
      <w:tblStyleColBandSize w:val="1"/>
      <w:tblInd w:w="0" w:type="dxa"/>
      <w:tblBorders>
        <w:top w:val="single" w:color="000000" w:themeColor="accent1" w:sz="32" w:space="0"/>
        <w:left w:val="single" w:color="000000" w:themeColor="accent1" w:sz="32" w:space="0"/>
        <w:bottom w:val="single" w:color="000000" w:themeColor="accent1" w:sz="32" w:space="0"/>
        <w:right w:val="single" w:color="000000" w:themeColor="accent1" w:sz="32" w:space="0"/>
      </w:tblBorders>
      <w:shd w:val="clear" w:color="ffffff" w:themeColor="accent1" w:fill="4f81bd" w:themeFill="accent1"/>
    </w:tblPr>
    <w:tblStylePr w:type="band1Horz">
      <w:tcPr>
        <w:shd w:val="clear" w:color="ffffff" w:themeColor="accent1" w:fill="4f81bd" w:themeFill="accent1"/>
        <w:tcBorders>
          <w:top w:val="single" w:color="000000" w:themeColor="light1" w:sz="4" w:space="0"/>
          <w:bottom w:val="single" w:color="000000" w:themeColor="light1" w:sz="4" w:space="0"/>
        </w:tcBorders>
      </w:tcPr>
    </w:tblStylePr>
    <w:tblStylePr w:type="band1Vert">
      <w:tcPr>
        <w:shd w:val="clear" w:color="ffffff" w:themeColor="accent1" w:fill="4f81bd" w:themeFill="accent1"/>
        <w:tcBorders>
          <w:left w:val="single" w:color="000000" w:themeColor="light1" w:sz="4" w:space="0"/>
          <w:right w:val="single" w:color="000000" w:themeColor="light1" w:sz="4" w:space="0"/>
        </w:tcBorders>
      </w:tcPr>
    </w:tblStylePr>
    <w:tblStylePr w:type="band2Horz">
      <w:tcPr>
        <w:shd w:val="clear" w:color="ffffff" w:themeColor="accent1" w:fill="4f81bd" w:themeFill="accent1"/>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1" w:sz="32" w:space="0"/>
          <w:right w:val="single" w:color="000000" w:themeColor="light1" w:sz="4" w:space="0"/>
        </w:tcBorders>
      </w:tcPr>
    </w:tblStylePr>
    <w:tblStylePr w:type="firstRow">
      <w:rPr>
        <w:rFonts w:ascii="Arial" w:hAnsi="Arial"/>
        <w:b/>
        <w:color w:val="ffffff" w:themeColor="light1"/>
        <w:sz w:val="22"/>
      </w:rPr>
      <w:tcPr>
        <w:shd w:val="clear" w:color="ffffff" w:themeColor="accent1" w:fill="4f81bd" w:themeFill="accent1"/>
        <w:tcBorders>
          <w:top w:val="single" w:color="000000" w:themeColor="accent1" w:sz="32" w:space="0"/>
          <w:bottom w:val="single" w:color="000000" w:themeColor="light1" w:sz="12" w:space="0"/>
        </w:tcBorders>
      </w:tcPr>
    </w:tblStylePr>
    <w:tblStylePr w:type="lastCol">
      <w:tcPr>
        <w:tcBorders>
          <w:left w:val="single" w:color="000000" w:themeColor="light1" w:sz="4" w:space="0"/>
          <w:right w:val="single" w:color="000000" w:themeColor="accent1"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86">
    <w:name w:val="List Table 5 Dark - Accent 2"/>
    <w:basedOn w:val="947"/>
    <w:uiPriority w:val="99"/>
    <w:pPr>
      <w:spacing w:after="0" w:line="240" w:lineRule="auto"/>
    </w:pPr>
    <w:tblPr>
      <w:tblStyleRowBandSize w:val="1"/>
      <w:tblStyleColBandSize w:val="1"/>
      <w:tblInd w:w="0" w:type="dxa"/>
      <w:tblBorders>
        <w:top w:val="single" w:color="000000" w:themeColor="accent2" w:themeTint="97" w:sz="32" w:space="0"/>
        <w:left w:val="single" w:color="000000" w:themeColor="accent2" w:themeTint="97" w:sz="32" w:space="0"/>
        <w:bottom w:val="single" w:color="000000" w:themeColor="accent2" w:themeTint="97" w:sz="32" w:space="0"/>
        <w:right w:val="single" w:color="000000" w:themeColor="accent2" w:themeTint="97" w:sz="32" w:space="0"/>
      </w:tblBorders>
      <w:shd w:val="clear" w:color="ffffff" w:themeColor="accent2" w:themeTint="97" w:fill="d99694" w:themeFill="accent2" w:themeFillTint="97"/>
    </w:tblPr>
    <w:tblStylePr w:type="band1Horz">
      <w:tcPr>
        <w:shd w:val="clear" w:color="ffffff" w:themeColor="accent2" w:themeTint="97" w:fill="d99694" w:themeFill="accent2" w:themeFillTint="97"/>
        <w:tcBorders>
          <w:top w:val="single" w:color="000000" w:themeColor="light1" w:sz="4" w:space="0"/>
          <w:bottom w:val="single" w:color="000000" w:themeColor="light1" w:sz="4" w:space="0"/>
        </w:tcBorders>
      </w:tcPr>
    </w:tblStylePr>
    <w:tblStylePr w:type="band1Vert">
      <w:tcPr>
        <w:shd w:val="clear" w:color="ffffff" w:themeColor="accent2" w:themeTint="97" w:fill="d99694" w:themeFill="accent2" w:themeFillTint="97"/>
        <w:tcBorders>
          <w:left w:val="single" w:color="000000" w:themeColor="light1" w:sz="4" w:space="0"/>
          <w:right w:val="single" w:color="000000" w:themeColor="light1" w:sz="4" w:space="0"/>
        </w:tcBorders>
      </w:tcPr>
    </w:tblStylePr>
    <w:tblStylePr w:type="band2Horz">
      <w:tcPr>
        <w:shd w:val="clear" w:color="ffffff" w:themeColor="accent2" w:themeTint="97" w:fill="d99694" w:themeFill="accent2" w:themeFillTint="97"/>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2" w:themeTint="97" w:sz="32" w:space="0"/>
          <w:right w:val="single" w:color="000000" w:themeColor="light1" w:sz="4" w:space="0"/>
        </w:tcBorders>
      </w:tcPr>
    </w:tblStylePr>
    <w:tblStylePr w:type="firstRow">
      <w:rPr>
        <w:rFonts w:ascii="Arial" w:hAnsi="Arial"/>
        <w:b/>
        <w:color w:val="ffffff" w:themeColor="light1"/>
        <w:sz w:val="22"/>
      </w:rPr>
      <w:tcPr>
        <w:shd w:val="clear" w:color="ffffff" w:themeColor="accent2" w:themeTint="97" w:fill="d99694" w:themeFill="accent2" w:themeFillTint="97"/>
        <w:tcBorders>
          <w:top w:val="single" w:color="000000" w:themeColor="accent2" w:themeTint="97" w:sz="32" w:space="0"/>
          <w:bottom w:val="single" w:color="000000" w:themeColor="light1" w:sz="12" w:space="0"/>
        </w:tcBorders>
      </w:tcPr>
    </w:tblStylePr>
    <w:tblStylePr w:type="lastCol">
      <w:tcPr>
        <w:tcBorders>
          <w:left w:val="single" w:color="000000" w:themeColor="light1" w:sz="4" w:space="0"/>
          <w:right w:val="single" w:color="000000" w:themeColor="accent2" w:themeTint="97"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87">
    <w:name w:val="List Table 5 Dark - Accent 3"/>
    <w:basedOn w:val="947"/>
    <w:uiPriority w:val="99"/>
    <w:pPr>
      <w:spacing w:after="0" w:line="240" w:lineRule="auto"/>
    </w:pPr>
    <w:tblPr>
      <w:tblStyleRowBandSize w:val="1"/>
      <w:tblStyleColBandSize w:val="1"/>
      <w:tblInd w:w="0" w:type="dxa"/>
      <w:tblBorders>
        <w:top w:val="single" w:color="000000" w:themeColor="accent3" w:themeTint="98" w:sz="32" w:space="0"/>
        <w:left w:val="single" w:color="000000" w:themeColor="accent3" w:themeTint="98" w:sz="32" w:space="0"/>
        <w:bottom w:val="single" w:color="000000" w:themeColor="accent3" w:themeTint="98" w:sz="32" w:space="0"/>
        <w:right w:val="single" w:color="000000" w:themeColor="accent3" w:themeTint="98" w:sz="32" w:space="0"/>
      </w:tblBorders>
      <w:shd w:val="clear" w:color="ffffff" w:themeColor="accent3" w:themeTint="98" w:fill="c3d69b" w:themeFill="accent3" w:themeFillTint="98"/>
    </w:tblPr>
    <w:tblStylePr w:type="band1Horz">
      <w:tcPr>
        <w:shd w:val="clear" w:color="ffffff" w:themeColor="accent3" w:themeTint="98" w:fill="c3d69b" w:themeFill="accent3" w:themeFillTint="98"/>
        <w:tcBorders>
          <w:top w:val="single" w:color="000000" w:themeColor="light1" w:sz="4" w:space="0"/>
          <w:bottom w:val="single" w:color="000000" w:themeColor="light1" w:sz="4" w:space="0"/>
        </w:tcBorders>
      </w:tcPr>
    </w:tblStylePr>
    <w:tblStylePr w:type="band1Vert">
      <w:tcPr>
        <w:shd w:val="clear" w:color="ffffff" w:themeColor="accent3" w:themeTint="98" w:fill="c3d69b" w:themeFill="accent3" w:themeFillTint="98"/>
        <w:tcBorders>
          <w:left w:val="single" w:color="000000" w:themeColor="light1" w:sz="4" w:space="0"/>
          <w:right w:val="single" w:color="000000" w:themeColor="light1" w:sz="4" w:space="0"/>
        </w:tcBorders>
      </w:tcPr>
    </w:tblStylePr>
    <w:tblStylePr w:type="band2Horz">
      <w:tcPr>
        <w:shd w:val="clear" w:color="ffffff" w:themeColor="accent3" w:themeTint="98" w:fill="c3d69b" w:themeFill="accent3" w:themeFillTint="98"/>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3" w:themeTint="98" w:sz="32" w:space="0"/>
          <w:right w:val="single" w:color="000000" w:themeColor="light1" w:sz="4" w:space="0"/>
        </w:tcBorders>
      </w:tcPr>
    </w:tblStylePr>
    <w:tblStylePr w:type="firstRow">
      <w:rPr>
        <w:rFonts w:ascii="Arial" w:hAnsi="Arial"/>
        <w:b/>
        <w:color w:val="ffffff" w:themeColor="light1"/>
        <w:sz w:val="22"/>
      </w:rPr>
      <w:tcPr>
        <w:shd w:val="clear" w:color="ffffff" w:themeColor="accent3" w:themeTint="98" w:fill="c3d69b" w:themeFill="accent3" w:themeFillTint="98"/>
        <w:tcBorders>
          <w:top w:val="single" w:color="000000" w:themeColor="accent3" w:themeTint="98" w:sz="32" w:space="0"/>
          <w:bottom w:val="single" w:color="000000" w:themeColor="light1" w:sz="12" w:space="0"/>
        </w:tcBorders>
      </w:tcPr>
    </w:tblStylePr>
    <w:tblStylePr w:type="lastCol">
      <w:tcPr>
        <w:tcBorders>
          <w:left w:val="single" w:color="000000" w:themeColor="light1" w:sz="4" w:space="0"/>
          <w:right w:val="single" w:color="000000" w:themeColor="accent3" w:themeTint="98"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88">
    <w:name w:val="List Table 5 Dark - Accent 4"/>
    <w:basedOn w:val="947"/>
    <w:uiPriority w:val="99"/>
    <w:pPr>
      <w:spacing w:after="0" w:line="240" w:lineRule="auto"/>
    </w:pPr>
    <w:tblPr>
      <w:tblStyleRowBandSize w:val="1"/>
      <w:tblStyleColBandSize w:val="1"/>
      <w:tblInd w:w="0" w:type="dxa"/>
      <w:tblBorders>
        <w:top w:val="single" w:color="000000" w:themeColor="accent4" w:themeTint="9A" w:sz="32" w:space="0"/>
        <w:left w:val="single" w:color="000000" w:themeColor="accent4" w:themeTint="9A" w:sz="32" w:space="0"/>
        <w:bottom w:val="single" w:color="000000" w:themeColor="accent4" w:themeTint="9A" w:sz="32" w:space="0"/>
        <w:right w:val="single" w:color="000000" w:themeColor="accent4" w:themeTint="9A" w:sz="32" w:space="0"/>
      </w:tblBorders>
      <w:shd w:val="clear" w:color="ffffff" w:themeColor="accent4" w:themeTint="9A" w:fill="b2a1c6" w:themeFill="accent4" w:themeFillTint="9A"/>
    </w:tblPr>
    <w:tblStylePr w:type="band1Horz">
      <w:tcPr>
        <w:shd w:val="clear" w:color="ffffff" w:themeColor="accent4" w:themeTint="9A" w:fill="b2a1c6" w:themeFill="accent4" w:themeFillTint="9A"/>
        <w:tcBorders>
          <w:top w:val="single" w:color="000000" w:themeColor="light1" w:sz="4" w:space="0"/>
          <w:bottom w:val="single" w:color="000000" w:themeColor="light1" w:sz="4" w:space="0"/>
        </w:tcBorders>
      </w:tcPr>
    </w:tblStylePr>
    <w:tblStylePr w:type="band1Vert">
      <w:tcPr>
        <w:shd w:val="clear" w:color="ffffff" w:themeColor="accent4" w:themeTint="9A" w:fill="b2a1c6" w:themeFill="accent4" w:themeFillTint="9A"/>
        <w:tcBorders>
          <w:left w:val="single" w:color="000000" w:themeColor="light1" w:sz="4" w:space="0"/>
          <w:right w:val="single" w:color="000000" w:themeColor="light1" w:sz="4" w:space="0"/>
        </w:tcBorders>
      </w:tcPr>
    </w:tblStylePr>
    <w:tblStylePr w:type="band2Horz">
      <w:tcPr>
        <w:shd w:val="clear" w:color="ffffff" w:themeColor="accent4" w:themeTint="9A" w:fill="b2a1c6" w:themeFill="accent4" w:themeFillTint="9A"/>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4" w:themeTint="9A" w:sz="32" w:space="0"/>
          <w:right w:val="single" w:color="000000" w:themeColor="light1" w:sz="4" w:space="0"/>
        </w:tcBorders>
      </w:tcPr>
    </w:tblStylePr>
    <w:tblStylePr w:type="firstRow">
      <w:rPr>
        <w:rFonts w:ascii="Arial" w:hAnsi="Arial"/>
        <w:b/>
        <w:color w:val="ffffff" w:themeColor="light1"/>
        <w:sz w:val="22"/>
      </w:rPr>
      <w:tcPr>
        <w:shd w:val="clear" w:color="ffffff" w:themeColor="accent4" w:themeTint="9A" w:fill="b2a1c6" w:themeFill="accent4" w:themeFillTint="9A"/>
        <w:tcBorders>
          <w:top w:val="single" w:color="000000" w:themeColor="accent4" w:themeTint="9A" w:sz="32" w:space="0"/>
          <w:bottom w:val="single" w:color="000000" w:themeColor="light1" w:sz="12" w:space="0"/>
        </w:tcBorders>
      </w:tcPr>
    </w:tblStylePr>
    <w:tblStylePr w:type="lastCol">
      <w:tcPr>
        <w:tcBorders>
          <w:left w:val="single" w:color="000000" w:themeColor="light1" w:sz="4" w:space="0"/>
          <w:right w:val="single" w:color="000000" w:themeColor="accent4" w:themeTint="9A"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89">
    <w:name w:val="List Table 5 Dark - Accent 5"/>
    <w:basedOn w:val="947"/>
    <w:uiPriority w:val="99"/>
    <w:pPr>
      <w:spacing w:after="0" w:line="240" w:lineRule="auto"/>
    </w:pPr>
    <w:tblPr>
      <w:tblStyleRowBandSize w:val="1"/>
      <w:tblStyleColBandSize w:val="1"/>
      <w:tblInd w:w="0" w:type="dxa"/>
      <w:tblBorders>
        <w:top w:val="single" w:color="000000" w:themeColor="accent5" w:themeTint="9A" w:sz="32" w:space="0"/>
        <w:left w:val="single" w:color="000000" w:themeColor="accent5" w:themeTint="9A" w:sz="32" w:space="0"/>
        <w:bottom w:val="single" w:color="000000" w:themeColor="accent5" w:themeTint="9A" w:sz="32" w:space="0"/>
        <w:right w:val="single" w:color="000000" w:themeColor="accent5" w:themeTint="9A" w:sz="32" w:space="0"/>
      </w:tblBorders>
      <w:shd w:val="clear" w:color="ffffff" w:themeColor="accent5" w:themeTint="9A" w:fill="91cddc" w:themeFill="accent5" w:themeFillTint="9A"/>
    </w:tblPr>
    <w:tblStylePr w:type="band1Horz">
      <w:tcPr>
        <w:shd w:val="clear" w:color="ffffff" w:themeColor="accent5" w:themeTint="9A" w:fill="91cddc" w:themeFill="accent5" w:themeFillTint="9A"/>
        <w:tcBorders>
          <w:top w:val="single" w:color="000000" w:themeColor="light1" w:sz="4" w:space="0"/>
          <w:bottom w:val="single" w:color="000000" w:themeColor="light1" w:sz="4" w:space="0"/>
        </w:tcBorders>
      </w:tcPr>
    </w:tblStylePr>
    <w:tblStylePr w:type="band1Vert">
      <w:tcPr>
        <w:shd w:val="clear" w:color="ffffff" w:themeColor="accent5" w:themeTint="9A" w:fill="91cddc" w:themeFill="accent5" w:themeFillTint="9A"/>
        <w:tcBorders>
          <w:left w:val="single" w:color="000000" w:themeColor="light1" w:sz="4" w:space="0"/>
          <w:right w:val="single" w:color="000000" w:themeColor="light1" w:sz="4" w:space="0"/>
        </w:tcBorders>
      </w:tcPr>
    </w:tblStylePr>
    <w:tblStylePr w:type="band2Horz">
      <w:tcPr>
        <w:shd w:val="clear" w:color="ffffff" w:themeColor="accent5" w:themeTint="9A" w:fill="91cddc" w:themeFill="accent5" w:themeFillTint="9A"/>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5" w:themeTint="9A" w:sz="32" w:space="0"/>
          <w:right w:val="single" w:color="000000" w:themeColor="light1" w:sz="4" w:space="0"/>
        </w:tcBorders>
      </w:tcPr>
    </w:tblStylePr>
    <w:tblStylePr w:type="firstRow">
      <w:rPr>
        <w:rFonts w:ascii="Arial" w:hAnsi="Arial"/>
        <w:b/>
        <w:color w:val="ffffff" w:themeColor="light1"/>
        <w:sz w:val="22"/>
      </w:rPr>
      <w:tcPr>
        <w:shd w:val="clear" w:color="ffffff" w:themeColor="accent5" w:themeTint="9A" w:fill="91cddc" w:themeFill="accent5" w:themeFillTint="9A"/>
        <w:tcBorders>
          <w:top w:val="single" w:color="000000" w:themeColor="accent5" w:themeTint="9A" w:sz="32" w:space="0"/>
          <w:bottom w:val="single" w:color="000000" w:themeColor="light1" w:sz="12" w:space="0"/>
        </w:tcBorders>
      </w:tcPr>
    </w:tblStylePr>
    <w:tblStylePr w:type="lastCol">
      <w:tcPr>
        <w:tcBorders>
          <w:left w:val="single" w:color="000000" w:themeColor="light1" w:sz="4" w:space="0"/>
          <w:right w:val="single" w:color="000000" w:themeColor="accent5" w:themeTint="9A"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90">
    <w:name w:val="List Table 5 Dark - Accent 6"/>
    <w:basedOn w:val="947"/>
    <w:uiPriority w:val="99"/>
    <w:pPr>
      <w:spacing w:after="0" w:line="240" w:lineRule="auto"/>
    </w:pPr>
    <w:tblPr>
      <w:tblStyleRowBandSize w:val="1"/>
      <w:tblStyleColBandSize w:val="1"/>
      <w:tblInd w:w="0" w:type="dxa"/>
      <w:tblBorders>
        <w:top w:val="single" w:color="000000" w:themeColor="accent6" w:themeTint="98" w:sz="32" w:space="0"/>
        <w:left w:val="single" w:color="000000" w:themeColor="accent6" w:themeTint="98" w:sz="32" w:space="0"/>
        <w:bottom w:val="single" w:color="000000" w:themeColor="accent6" w:themeTint="98" w:sz="32" w:space="0"/>
        <w:right w:val="single" w:color="000000" w:themeColor="accent6" w:themeTint="98" w:sz="32" w:space="0"/>
      </w:tblBorders>
      <w:shd w:val="clear" w:color="ffffff" w:themeColor="accent6" w:themeTint="98" w:fill="f9bf90" w:themeFill="accent6" w:themeFillTint="98"/>
    </w:tblPr>
    <w:tblStylePr w:type="band1Horz">
      <w:tcPr>
        <w:shd w:val="clear" w:color="ffffff" w:themeColor="accent6" w:themeTint="98" w:fill="f9bf90" w:themeFill="accent6" w:themeFillTint="98"/>
        <w:tcBorders>
          <w:top w:val="single" w:color="000000" w:themeColor="light1" w:sz="4" w:space="0"/>
          <w:bottom w:val="single" w:color="000000" w:themeColor="light1" w:sz="4" w:space="0"/>
        </w:tcBorders>
      </w:tcPr>
    </w:tblStylePr>
    <w:tblStylePr w:type="band1Vert">
      <w:tcPr>
        <w:shd w:val="clear" w:color="ffffff" w:themeColor="accent6" w:themeTint="98" w:fill="f9bf90" w:themeFill="accent6" w:themeFillTint="98"/>
        <w:tcBorders>
          <w:left w:val="single" w:color="000000" w:themeColor="light1" w:sz="4" w:space="0"/>
          <w:right w:val="single" w:color="000000" w:themeColor="light1" w:sz="4" w:space="0"/>
        </w:tcBorders>
      </w:tcPr>
    </w:tblStylePr>
    <w:tblStylePr w:type="band2Horz">
      <w:tcPr>
        <w:shd w:val="clear" w:color="ffffff" w:themeColor="accent6" w:themeTint="98" w:fill="f9bf90" w:themeFill="accent6" w:themeFillTint="98"/>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6" w:themeTint="98" w:sz="32" w:space="0"/>
          <w:right w:val="single" w:color="000000" w:themeColor="light1" w:sz="4" w:space="0"/>
        </w:tcBorders>
      </w:tcPr>
    </w:tblStylePr>
    <w:tblStylePr w:type="firstRow">
      <w:rPr>
        <w:rFonts w:ascii="Arial" w:hAnsi="Arial"/>
        <w:b/>
        <w:color w:val="ffffff" w:themeColor="light1"/>
        <w:sz w:val="22"/>
      </w:rPr>
      <w:tcPr>
        <w:shd w:val="clear" w:color="ffffff" w:themeColor="accent6" w:themeTint="98" w:fill="f9bf90" w:themeFill="accent6" w:themeFillTint="98"/>
        <w:tcBorders>
          <w:top w:val="single" w:color="000000" w:themeColor="accent6" w:themeTint="98" w:sz="32" w:space="0"/>
          <w:bottom w:val="single" w:color="000000" w:themeColor="light1" w:sz="12" w:space="0"/>
        </w:tcBorders>
      </w:tcPr>
    </w:tblStylePr>
    <w:tblStylePr w:type="lastCol">
      <w:tcPr>
        <w:tcBorders>
          <w:left w:val="single" w:color="000000" w:themeColor="light1" w:sz="4" w:space="0"/>
          <w:right w:val="single" w:color="000000" w:themeColor="accent6" w:themeTint="98"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91">
    <w:name w:val="List Table 6 Colorful"/>
    <w:basedOn w:val="947"/>
    <w:uiPriority w:val="99"/>
    <w:pPr>
      <w:spacing w:after="0" w:line="240" w:lineRule="auto"/>
    </w:pPr>
    <w:tblPr>
      <w:tblStyleRowBandSize w:val="1"/>
      <w:tblStyleColBandSize w:val="1"/>
      <w:tblInd w:w="0" w:type="dxa"/>
      <w:tblBorders>
        <w:top w:val="single" w:color="000000" w:themeColor="text1" w:themeTint="80" w:sz="4" w:space="0"/>
        <w:bottom w:val="single" w:color="000000" w:themeColor="text1" w:themeTint="80" w:sz="4" w:space="0"/>
      </w:tblBorders>
    </w:tblPr>
    <w:tblStylePr w:type="band1Horz">
      <w:rPr>
        <w:rFonts w:ascii="Arial" w:hAnsi="Arial"/>
        <w:color w:val="404040" w:themeColor="text1"/>
        <w:sz w:val="22"/>
      </w:rPr>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band2Horz">
      <w:rPr>
        <w:rFonts w:ascii="Arial" w:hAnsi="Arial"/>
        <w:color w:val="404040" w:themeColor="text1"/>
        <w:sz w:val="22"/>
      </w:rPr>
    </w:tblStylePr>
    <w:tblStylePr w:type="firstCol">
      <w:rPr>
        <w:b/>
        <w:color w:val="000000" w:themeColor="text1"/>
      </w:rPr>
    </w:tblStylePr>
    <w:tblStylePr w:type="firstRow">
      <w:rPr>
        <w:b/>
        <w:color w:val="000000" w:themeColor="text1"/>
      </w:rPr>
      <w:tcPr>
        <w:tcBorders>
          <w:bottom w:val="single" w:color="000000" w:themeColor="text1" w:themeTint="80" w:sz="4" w:space="0"/>
        </w:tcBorders>
      </w:tcPr>
    </w:tblStylePr>
    <w:tblStylePr w:type="lastCol">
      <w:rPr>
        <w:b/>
        <w:color w:val="000000" w:themeColor="text1"/>
      </w:rPr>
    </w:tblStylePr>
    <w:tblStylePr w:type="lastRow">
      <w:rPr>
        <w:b/>
        <w:color w:val="000000" w:themeColor="text1"/>
      </w:rPr>
      <w:tcPr>
        <w:tcBorders>
          <w:top w:val="single" w:color="000000" w:themeColor="text1" w:themeTint="80" w:sz="4" w:space="0"/>
        </w:tcBorders>
      </w:tcPr>
    </w:tblStylePr>
  </w:style>
  <w:style w:type="table" w:styleId="892">
    <w:name w:val="List Table 6 Colorful - Accent 1"/>
    <w:basedOn w:val="947"/>
    <w:uiPriority w:val="99"/>
    <w:pPr>
      <w:spacing w:after="0" w:line="240" w:lineRule="auto"/>
    </w:pPr>
    <w:tblPr>
      <w:tblStyleRowBandSize w:val="1"/>
      <w:tblStyleColBandSize w:val="1"/>
      <w:tblInd w:w="0" w:type="dxa"/>
      <w:tblBorders>
        <w:top w:val="single" w:color="000000" w:themeColor="accent1" w:sz="4" w:space="0"/>
        <w:bottom w:val="single" w:color="000000" w:themeColor="accent1" w:sz="4" w:space="0"/>
      </w:tblBorders>
    </w:tblPr>
    <w:tblStylePr w:type="band1Horz">
      <w:rPr>
        <w:rFonts w:ascii="Arial" w:hAnsi="Arial"/>
        <w:color w:val="404040" w:themeColor="accent1" w:themeShade="95"/>
        <w:sz w:val="22"/>
      </w:rPr>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band2Horz">
      <w:rPr>
        <w:rFonts w:ascii="Arial" w:hAnsi="Arial"/>
        <w:color w:val="404040" w:themeColor="accent1" w:themeShade="95"/>
        <w:sz w:val="22"/>
      </w:rPr>
    </w:tblStylePr>
    <w:tblStylePr w:type="firstCol">
      <w:rPr>
        <w:b/>
        <w:color w:val="2a4b71" w:themeColor="accent1" w:themeShade="95"/>
      </w:rPr>
    </w:tblStylePr>
    <w:tblStylePr w:type="firstRow">
      <w:rPr>
        <w:b/>
        <w:color w:val="2a4b71" w:themeColor="accent1" w:themeShade="95"/>
      </w:rPr>
      <w:tcPr>
        <w:tcBorders>
          <w:bottom w:val="single" w:color="000000" w:themeColor="accent1" w:sz="4" w:space="0"/>
        </w:tcBorders>
      </w:tcPr>
    </w:tblStylePr>
    <w:tblStylePr w:type="lastCol">
      <w:rPr>
        <w:b/>
        <w:color w:val="2a4b71" w:themeColor="accent1" w:themeShade="95"/>
      </w:rPr>
    </w:tblStylePr>
    <w:tblStylePr w:type="lastRow">
      <w:rPr>
        <w:b/>
        <w:color w:val="2a4b71" w:themeColor="accent1" w:themeShade="95"/>
      </w:rPr>
      <w:tcPr>
        <w:tcBorders>
          <w:top w:val="single" w:color="000000" w:themeColor="accent1" w:sz="4" w:space="0"/>
        </w:tcBorders>
      </w:tcPr>
    </w:tblStylePr>
  </w:style>
  <w:style w:type="table" w:styleId="893">
    <w:name w:val="List Table 6 Colorful - Accent 2"/>
    <w:basedOn w:val="947"/>
    <w:uiPriority w:val="99"/>
    <w:pPr>
      <w:spacing w:after="0" w:line="240" w:lineRule="auto"/>
    </w:pPr>
    <w:tblPr>
      <w:tblStyleRowBandSize w:val="1"/>
      <w:tblStyleColBandSize w:val="1"/>
      <w:tblInd w:w="0" w:type="dxa"/>
      <w:tblBorders>
        <w:top w:val="single" w:color="000000" w:themeColor="accent2" w:themeTint="97" w:sz="4" w:space="0"/>
        <w:bottom w:val="single" w:color="000000" w:themeColor="accent2" w:themeTint="97" w:sz="4" w:space="0"/>
      </w:tblBorders>
    </w:tblPr>
    <w:tblStylePr w:type="band1Horz">
      <w:rPr>
        <w:rFonts w:ascii="Arial" w:hAnsi="Arial"/>
        <w:color w:val="404040" w:themeColor="accent2" w:themeTint="97" w:themeShade="95"/>
        <w:sz w:val="22"/>
      </w:rPr>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band2Horz">
      <w:rPr>
        <w:rFonts w:ascii="Arial" w:hAnsi="Arial"/>
        <w:color w:val="404040" w:themeColor="accent2" w:themeTint="97" w:themeShade="95"/>
        <w:sz w:val="22"/>
      </w:rPr>
    </w:tblStylePr>
    <w:tblStylePr w:type="firstCol">
      <w:rPr>
        <w:b/>
        <w:color w:val="9c3a37" w:themeColor="accent2" w:themeTint="97" w:themeShade="95"/>
      </w:rPr>
    </w:tblStylePr>
    <w:tblStylePr w:type="firstRow">
      <w:rPr>
        <w:b/>
        <w:color w:val="9c3a37" w:themeColor="accent2" w:themeTint="97" w:themeShade="95"/>
      </w:rPr>
      <w:tcPr>
        <w:tcBorders>
          <w:bottom w:val="single" w:color="000000" w:themeColor="accent2" w:themeTint="97" w:sz="4" w:space="0"/>
        </w:tcBorders>
      </w:tcPr>
    </w:tblStylePr>
    <w:tblStylePr w:type="lastCol">
      <w:rPr>
        <w:b/>
        <w:color w:val="9c3a37" w:themeColor="accent2" w:themeTint="97" w:themeShade="95"/>
      </w:rPr>
    </w:tblStylePr>
    <w:tblStylePr w:type="lastRow">
      <w:rPr>
        <w:b/>
        <w:color w:val="9c3a37" w:themeColor="accent2" w:themeTint="97" w:themeShade="95"/>
      </w:rPr>
      <w:tcPr>
        <w:tcBorders>
          <w:top w:val="single" w:color="000000" w:themeColor="accent2" w:themeTint="97" w:sz="4" w:space="0"/>
        </w:tcBorders>
      </w:tcPr>
    </w:tblStylePr>
  </w:style>
  <w:style w:type="table" w:styleId="894">
    <w:name w:val="List Table 6 Colorful - Accent 3"/>
    <w:basedOn w:val="947"/>
    <w:uiPriority w:val="99"/>
    <w:pPr>
      <w:spacing w:after="0" w:line="240" w:lineRule="auto"/>
    </w:pPr>
    <w:tblPr>
      <w:tblStyleRowBandSize w:val="1"/>
      <w:tblStyleColBandSize w:val="1"/>
      <w:tblInd w:w="0" w:type="dxa"/>
      <w:tblBorders>
        <w:top w:val="single" w:color="000000" w:themeColor="accent3" w:themeTint="98" w:sz="4" w:space="0"/>
        <w:bottom w:val="single" w:color="000000" w:themeColor="accent3" w:themeTint="98" w:sz="4" w:space="0"/>
      </w:tblBorders>
    </w:tblPr>
    <w:tblStylePr w:type="band1Horz">
      <w:rPr>
        <w:rFonts w:ascii="Arial" w:hAnsi="Arial"/>
        <w:color w:val="404040" w:themeColor="accent3" w:themeTint="98" w:themeShade="95"/>
        <w:sz w:val="22"/>
      </w:rPr>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band2Horz">
      <w:rPr>
        <w:rFonts w:ascii="Arial" w:hAnsi="Arial"/>
        <w:color w:val="404040" w:themeColor="accent3" w:themeTint="98" w:themeShade="95"/>
        <w:sz w:val="22"/>
      </w:rPr>
    </w:tblStylePr>
    <w:tblStylePr w:type="firstCol">
      <w:rPr>
        <w:b/>
        <w:color w:val="7c983f" w:themeColor="accent3" w:themeTint="98" w:themeShade="95"/>
      </w:rPr>
    </w:tblStylePr>
    <w:tblStylePr w:type="firstRow">
      <w:rPr>
        <w:b/>
        <w:color w:val="7c983f" w:themeColor="accent3" w:themeTint="98" w:themeShade="95"/>
      </w:rPr>
      <w:tcPr>
        <w:tcBorders>
          <w:bottom w:val="single" w:color="000000" w:themeColor="accent3" w:themeTint="98" w:sz="4" w:space="0"/>
        </w:tcBorders>
      </w:tcPr>
    </w:tblStylePr>
    <w:tblStylePr w:type="lastCol">
      <w:rPr>
        <w:b/>
        <w:color w:val="7c983f" w:themeColor="accent3" w:themeTint="98" w:themeShade="95"/>
      </w:rPr>
    </w:tblStylePr>
    <w:tblStylePr w:type="lastRow">
      <w:rPr>
        <w:b/>
        <w:color w:val="7c983f" w:themeColor="accent3" w:themeTint="98" w:themeShade="95"/>
      </w:rPr>
      <w:tcPr>
        <w:tcBorders>
          <w:top w:val="single" w:color="000000" w:themeColor="accent3" w:themeTint="98" w:sz="4" w:space="0"/>
        </w:tcBorders>
      </w:tcPr>
    </w:tblStylePr>
  </w:style>
  <w:style w:type="table" w:styleId="895">
    <w:name w:val="List Table 6 Colorful - Accent 4"/>
    <w:basedOn w:val="947"/>
    <w:uiPriority w:val="99"/>
    <w:pPr>
      <w:spacing w:after="0" w:line="240" w:lineRule="auto"/>
    </w:pPr>
    <w:tblPr>
      <w:tblStyleRowBandSize w:val="1"/>
      <w:tblStyleColBandSize w:val="1"/>
      <w:tblInd w:w="0" w:type="dxa"/>
      <w:tblBorders>
        <w:top w:val="single" w:color="000000" w:themeColor="accent4" w:themeTint="9A" w:sz="4" w:space="0"/>
        <w:bottom w:val="single" w:color="000000" w:themeColor="accent4" w:themeTint="9A" w:sz="4" w:space="0"/>
      </w:tblBorders>
    </w:tblPr>
    <w:tblStylePr w:type="band1Horz">
      <w:rPr>
        <w:rFonts w:ascii="Arial" w:hAnsi="Arial"/>
        <w:color w:val="404040" w:themeColor="accent4" w:themeTint="9A" w:themeShade="95"/>
        <w:sz w:val="22"/>
      </w:rPr>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band2Horz">
      <w:rPr>
        <w:rFonts w:ascii="Arial" w:hAnsi="Arial"/>
        <w:color w:val="404040" w:themeColor="accent4" w:themeTint="9A" w:themeShade="95"/>
        <w:sz w:val="22"/>
      </w:rPr>
    </w:tblStylePr>
    <w:tblStylePr w:type="firstCol">
      <w:rPr>
        <w:b/>
        <w:color w:val="664f82" w:themeColor="accent4" w:themeTint="9A" w:themeShade="95"/>
      </w:rPr>
    </w:tblStylePr>
    <w:tblStylePr w:type="firstRow">
      <w:rPr>
        <w:b/>
        <w:color w:val="664f82" w:themeColor="accent4" w:themeTint="9A" w:themeShade="95"/>
      </w:rPr>
      <w:tcPr>
        <w:tcBorders>
          <w:bottom w:val="single" w:color="000000" w:themeColor="accent4" w:themeTint="9A" w:sz="4" w:space="0"/>
        </w:tcBorders>
      </w:tcPr>
    </w:tblStylePr>
    <w:tblStylePr w:type="lastCol">
      <w:rPr>
        <w:b/>
        <w:color w:val="664f82" w:themeColor="accent4" w:themeTint="9A" w:themeShade="95"/>
      </w:rPr>
    </w:tblStylePr>
    <w:tblStylePr w:type="lastRow">
      <w:rPr>
        <w:b/>
        <w:color w:val="664f82" w:themeColor="accent4" w:themeTint="9A" w:themeShade="95"/>
      </w:rPr>
      <w:tcPr>
        <w:tcBorders>
          <w:top w:val="single" w:color="000000" w:themeColor="accent4" w:themeTint="9A" w:sz="4" w:space="0"/>
        </w:tcBorders>
      </w:tcPr>
    </w:tblStylePr>
  </w:style>
  <w:style w:type="table" w:styleId="896">
    <w:name w:val="List Table 6 Colorful - Accent 5"/>
    <w:basedOn w:val="947"/>
    <w:uiPriority w:val="99"/>
    <w:pPr>
      <w:spacing w:after="0" w:line="240" w:lineRule="auto"/>
    </w:pPr>
    <w:tblPr>
      <w:tblStyleRowBandSize w:val="1"/>
      <w:tblStyleColBandSize w:val="1"/>
      <w:tblInd w:w="0" w:type="dxa"/>
      <w:tblBorders>
        <w:top w:val="single" w:color="000000" w:themeColor="accent5" w:themeTint="9A" w:sz="4" w:space="0"/>
        <w:bottom w:val="single" w:color="000000" w:themeColor="accent5" w:themeTint="9A" w:sz="4" w:space="0"/>
      </w:tblBorders>
    </w:tblPr>
    <w:tblStylePr w:type="band1Horz">
      <w:rPr>
        <w:rFonts w:ascii="Arial" w:hAnsi="Arial"/>
        <w:color w:val="404040" w:themeColor="accent5" w:themeTint="9A" w:themeShade="95"/>
        <w:sz w:val="22"/>
      </w:rPr>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band2Horz">
      <w:rPr>
        <w:rFonts w:ascii="Arial" w:hAnsi="Arial"/>
        <w:color w:val="404040" w:themeColor="accent5" w:themeTint="9A" w:themeShade="95"/>
        <w:sz w:val="22"/>
      </w:rPr>
    </w:tblStylePr>
    <w:tblStylePr w:type="firstCol">
      <w:rPr>
        <w:b/>
        <w:color w:val="338aa0" w:themeColor="accent5" w:themeTint="9A" w:themeShade="95"/>
      </w:rPr>
    </w:tblStylePr>
    <w:tblStylePr w:type="firstRow">
      <w:rPr>
        <w:b/>
        <w:color w:val="338aa0" w:themeColor="accent5" w:themeTint="9A" w:themeShade="95"/>
      </w:rPr>
      <w:tcPr>
        <w:tcBorders>
          <w:bottom w:val="single" w:color="000000" w:themeColor="accent5" w:themeTint="9A" w:sz="4" w:space="0"/>
        </w:tcBorders>
      </w:tcPr>
    </w:tblStylePr>
    <w:tblStylePr w:type="lastCol">
      <w:rPr>
        <w:b/>
        <w:color w:val="338aa0" w:themeColor="accent5" w:themeTint="9A" w:themeShade="95"/>
      </w:rPr>
    </w:tblStylePr>
    <w:tblStylePr w:type="lastRow">
      <w:rPr>
        <w:b/>
        <w:color w:val="338aa0" w:themeColor="accent5" w:themeTint="9A" w:themeShade="95"/>
      </w:rPr>
      <w:tcPr>
        <w:tcBorders>
          <w:top w:val="single" w:color="000000" w:themeColor="accent5" w:themeTint="9A" w:sz="4" w:space="0"/>
        </w:tcBorders>
      </w:tcPr>
    </w:tblStylePr>
  </w:style>
  <w:style w:type="table" w:styleId="897">
    <w:name w:val="List Table 6 Colorful - Accent 6"/>
    <w:basedOn w:val="947"/>
    <w:uiPriority w:val="99"/>
    <w:pPr>
      <w:spacing w:after="0" w:line="240" w:lineRule="auto"/>
    </w:pPr>
    <w:tblPr>
      <w:tblStyleRowBandSize w:val="1"/>
      <w:tblStyleColBandSize w:val="1"/>
      <w:tblInd w:w="0" w:type="dxa"/>
      <w:tblBorders>
        <w:top w:val="single" w:color="000000" w:themeColor="accent6" w:themeTint="98" w:sz="4" w:space="0"/>
        <w:bottom w:val="single" w:color="000000" w:themeColor="accent6" w:themeTint="98" w:sz="4" w:space="0"/>
      </w:tblBorders>
    </w:tblPr>
    <w:tblStylePr w:type="band1Horz">
      <w:rPr>
        <w:rFonts w:ascii="Arial" w:hAnsi="Arial"/>
        <w:color w:val="404040" w:themeColor="accent6" w:themeTint="98" w:themeShade="95"/>
        <w:sz w:val="22"/>
      </w:rPr>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band2Horz">
      <w:rPr>
        <w:rFonts w:ascii="Arial" w:hAnsi="Arial"/>
        <w:color w:val="404040" w:themeColor="accent6" w:themeTint="98" w:themeShade="95"/>
        <w:sz w:val="22"/>
      </w:rPr>
    </w:tblStylePr>
    <w:tblStylePr w:type="firstCol">
      <w:rPr>
        <w:b/>
        <w:color w:val="d9680c" w:themeColor="accent6" w:themeTint="98" w:themeShade="95"/>
      </w:rPr>
    </w:tblStylePr>
    <w:tblStylePr w:type="firstRow">
      <w:rPr>
        <w:b/>
        <w:color w:val="d9680c" w:themeColor="accent6" w:themeTint="98" w:themeShade="95"/>
      </w:rPr>
      <w:tcPr>
        <w:tcBorders>
          <w:bottom w:val="single" w:color="000000" w:themeColor="accent6" w:themeTint="98" w:sz="4" w:space="0"/>
        </w:tcBorders>
      </w:tcPr>
    </w:tblStylePr>
    <w:tblStylePr w:type="lastCol">
      <w:rPr>
        <w:b/>
        <w:color w:val="d9680c" w:themeColor="accent6" w:themeTint="98" w:themeShade="95"/>
      </w:rPr>
    </w:tblStylePr>
    <w:tblStylePr w:type="lastRow">
      <w:rPr>
        <w:b/>
        <w:color w:val="d9680c" w:themeColor="accent6" w:themeTint="98" w:themeShade="95"/>
      </w:rPr>
      <w:tcPr>
        <w:tcBorders>
          <w:top w:val="single" w:color="000000" w:themeColor="accent6" w:themeTint="98" w:sz="4" w:space="0"/>
        </w:tcBorders>
      </w:tcPr>
    </w:tblStylePr>
  </w:style>
  <w:style w:type="table" w:styleId="898">
    <w:name w:val="List Table 7 Colorful"/>
    <w:basedOn w:val="947"/>
    <w:uiPriority w:val="99"/>
    <w:pPr>
      <w:spacing w:after="0" w:line="240" w:lineRule="auto"/>
    </w:pPr>
    <w:tblPr>
      <w:tblStyleRowBandSize w:val="1"/>
      <w:tblStyleColBandSize w:val="1"/>
      <w:tblInd w:w="0" w:type="dxa"/>
      <w:tblBorders>
        <w:right w:val="single" w:color="000000" w:themeColor="text1" w:themeTint="80" w:sz="4" w:space="0"/>
      </w:tblBorders>
    </w:tblPr>
    <w:tblStylePr w:type="band1Horz">
      <w:rPr>
        <w:rFonts w:ascii="Arial" w:hAnsi="Arial"/>
        <w:color w:val="4a4a4a" w:themeColor="text1" w:themeTint="80" w:themeShade="95"/>
        <w:sz w:val="22"/>
      </w:rPr>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band2Horz">
      <w:rPr>
        <w:rFonts w:ascii="Arial" w:hAnsi="Arial"/>
        <w:color w:val="4a4a4a" w:themeColor="text1" w:themeTint="80" w:themeShade="95"/>
        <w:sz w:val="22"/>
      </w:rPr>
    </w:tblStylePr>
    <w:tblStylePr w:type="firstCol">
      <w:rPr>
        <w:rFonts w:ascii="Arial" w:hAnsi="Arial"/>
        <w:i/>
        <w:color w:val="4a4a4a" w:themeColor="tex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text1" w:themeTint="80" w:sz="4" w:space="0"/>
        </w:tcBorders>
      </w:tcPr>
    </w:tblStylePr>
    <w:tblStylePr w:type="firstRow">
      <w:rPr>
        <w:rFonts w:ascii="Arial" w:hAnsi="Arial"/>
        <w:i/>
        <w:color w:val="4a4a4a" w:themeColor="text1" w:themeTint="80" w:themeShade="95"/>
        <w:sz w:val="22"/>
      </w:rPr>
      <w:tcPr>
        <w:shd w:val="clear" w:color="ffffff" w:themeColor="light1" w:fill="ffffff" w:themeFill="light1"/>
        <w:tcBorders>
          <w:top w:val="none" w:color="000000" w:sz="4" w:space="0"/>
          <w:left w:val="none" w:color="000000" w:sz="4" w:space="0"/>
          <w:bottom w:val="single" w:color="000000" w:themeColor="text1" w:themeTint="80" w:sz="4" w:space="0"/>
          <w:right w:val="none" w:color="000000" w:sz="4" w:space="0"/>
        </w:tcBorders>
      </w:tcPr>
    </w:tblStylePr>
    <w:tblStylePr w:type="lastCol">
      <w:rPr>
        <w:rFonts w:ascii="Arial" w:hAnsi="Arial"/>
        <w:i/>
        <w:color w:val="4a4a4a" w:themeColor="text1" w:themeTint="80" w:themeShade="95"/>
        <w:sz w:val="22"/>
      </w:rPr>
      <w:tcPr>
        <w:shd w:val="clear" w:color="ffffff"/>
        <w:tcBorders>
          <w:top w:val="none" w:color="000000" w:sz="4" w:space="0"/>
          <w:left w:val="single" w:color="000000" w:themeColor="text1" w:themeTint="80" w:sz="4" w:space="0"/>
          <w:bottom w:val="none" w:color="000000" w:sz="4" w:space="0"/>
          <w:right w:val="none" w:color="000000" w:sz="4" w:space="0"/>
        </w:tcBorders>
      </w:tcPr>
    </w:tblStylePr>
    <w:tblStylePr w:type="lastRow">
      <w:rPr>
        <w:rFonts w:ascii="Arial" w:hAnsi="Arial"/>
        <w:i/>
        <w:color w:val="4a4a4a" w:themeColor="text1" w:themeTint="80" w:themeShade="95"/>
        <w:sz w:val="22"/>
      </w:rPr>
      <w:tcPr>
        <w:shd w:val="clear" w:color="ffffff" w:themeColor="light1" w:fill="ffffff" w:themeFill="light1"/>
        <w:tcBorders>
          <w:top w:val="single" w:color="000000" w:themeColor="text1" w:themeTint="80" w:sz="4" w:space="0"/>
          <w:left w:val="none" w:color="000000" w:sz="4" w:space="0"/>
          <w:bottom w:val="none" w:color="000000" w:sz="4" w:space="0"/>
          <w:right w:val="none" w:color="000000" w:sz="4" w:space="0"/>
        </w:tcBorders>
      </w:tcPr>
    </w:tblStylePr>
    <w:tblStylePr w:type="wholeTable">
      <w:rPr>
        <w:rFonts w:ascii="Arial" w:hAnsi="Arial"/>
        <w:color w:val="4a4a4a" w:themeColor="text1" w:themeTint="80" w:themeShade="95"/>
        <w:sz w:val="22"/>
      </w:rPr>
    </w:tblStylePr>
  </w:style>
  <w:style w:type="table" w:styleId="899">
    <w:name w:val="List Table 7 Colorful - Accent 1"/>
    <w:basedOn w:val="947"/>
    <w:uiPriority w:val="99"/>
    <w:pPr>
      <w:spacing w:after="0" w:line="240" w:lineRule="auto"/>
    </w:pPr>
    <w:tblPr>
      <w:tblStyleRowBandSize w:val="1"/>
      <w:tblStyleColBandSize w:val="1"/>
      <w:tblInd w:w="0" w:type="dxa"/>
      <w:tblBorders>
        <w:right w:val="single" w:color="000000" w:themeColor="accent1" w:sz="4" w:space="0"/>
      </w:tblBorders>
    </w:tblPr>
    <w:tblStylePr w:type="band1Horz">
      <w:rPr>
        <w:rFonts w:ascii="Arial" w:hAnsi="Arial"/>
        <w:color w:val="2a4b71" w:themeColor="accent1" w:themeShade="95"/>
        <w:sz w:val="22"/>
      </w:rPr>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band2Horz">
      <w:rPr>
        <w:rFonts w:ascii="Arial" w:hAnsi="Arial"/>
        <w:color w:val="2a4b71" w:themeColor="accent1" w:themeShade="95"/>
        <w:sz w:val="22"/>
      </w:rPr>
    </w:tblStylePr>
    <w:tblStylePr w:type="firstCol">
      <w:rPr>
        <w:rFonts w:ascii="Arial" w:hAnsi="Arial"/>
        <w:i/>
        <w:color w:val="2a4b71" w:themeColor="accent1" w:themeShade="95"/>
        <w:sz w:val="22"/>
      </w:rPr>
      <w:pPr>
        <w:jc w:val="right"/>
      </w:pPr>
      <w:tcPr>
        <w:shd w:val="clear" w:color="ffffff"/>
        <w:tcBorders>
          <w:top w:val="none" w:color="000000" w:sz="4" w:space="0"/>
          <w:left w:val="none" w:color="000000" w:sz="4" w:space="0"/>
          <w:bottom w:val="none" w:color="000000" w:sz="4" w:space="0"/>
          <w:right w:val="single" w:color="000000" w:themeColor="accent1" w:sz="4" w:space="0"/>
        </w:tcBorders>
      </w:tcPr>
    </w:tblStylePr>
    <w:tblStylePr w:type="firstRow">
      <w:rPr>
        <w:rFonts w:ascii="Arial" w:hAnsi="Arial"/>
        <w:i/>
        <w:color w:val="2a4b71" w:themeColor="accent1" w:themeShade="95"/>
        <w:sz w:val="22"/>
      </w:rPr>
      <w:tcPr>
        <w:shd w:val="clear" w:color="ffffff" w:themeColor="light1" w:fill="ffffff" w:themeFill="light1"/>
        <w:tcBorders>
          <w:top w:val="none" w:color="000000" w:sz="4" w:space="0"/>
          <w:left w:val="none" w:color="000000" w:sz="4" w:space="0"/>
          <w:bottom w:val="single" w:color="000000" w:themeColor="accent1" w:sz="4" w:space="0"/>
          <w:right w:val="none" w:color="000000" w:sz="4" w:space="0"/>
        </w:tcBorders>
      </w:tcPr>
    </w:tblStylePr>
    <w:tblStylePr w:type="lastCol">
      <w:rPr>
        <w:rFonts w:ascii="Arial" w:hAnsi="Arial"/>
        <w:i/>
        <w:color w:val="2a4b71" w:themeColor="accent1" w:themeShade="95"/>
        <w:sz w:val="22"/>
      </w:rPr>
      <w:tcPr>
        <w:shd w:val="clear" w:color="ffffff"/>
        <w:tcBorders>
          <w:top w:val="none" w:color="000000" w:sz="4" w:space="0"/>
          <w:left w:val="single" w:color="000000" w:themeColor="accent1" w:sz="4" w:space="0"/>
          <w:bottom w:val="none" w:color="000000" w:sz="4" w:space="0"/>
          <w:right w:val="none" w:color="000000" w:sz="4" w:space="0"/>
        </w:tcBorders>
      </w:tcPr>
    </w:tblStylePr>
    <w:tblStylePr w:type="lastRow">
      <w:rPr>
        <w:rFonts w:ascii="Arial" w:hAnsi="Arial"/>
        <w:i/>
        <w:color w:val="2a4b71" w:themeColor="accent1" w:themeShade="95"/>
        <w:sz w:val="22"/>
      </w:rPr>
      <w:tcPr>
        <w:shd w:val="clear" w:color="ffffff" w:themeColor="light1" w:fill="ffffff" w:themeFill="light1"/>
        <w:tcBorders>
          <w:top w:val="single" w:color="000000" w:themeColor="accent1" w:sz="4" w:space="0"/>
          <w:left w:val="none" w:color="000000" w:sz="4" w:space="0"/>
          <w:bottom w:val="none" w:color="000000" w:sz="4" w:space="0"/>
          <w:right w:val="none" w:color="000000" w:sz="4" w:space="0"/>
        </w:tcBorders>
      </w:tcPr>
    </w:tblStylePr>
    <w:tblStylePr w:type="wholeTable">
      <w:rPr>
        <w:rFonts w:ascii="Arial" w:hAnsi="Arial"/>
        <w:color w:val="2a4b71" w:themeColor="accent1" w:themeShade="95"/>
        <w:sz w:val="22"/>
      </w:rPr>
    </w:tblStylePr>
  </w:style>
  <w:style w:type="table" w:styleId="900">
    <w:name w:val="List Table 7 Colorful - Accent 2"/>
    <w:basedOn w:val="947"/>
    <w:uiPriority w:val="99"/>
    <w:pPr>
      <w:spacing w:after="0" w:line="240" w:lineRule="auto"/>
    </w:pPr>
    <w:tblPr>
      <w:tblStyleRowBandSize w:val="1"/>
      <w:tblStyleColBandSize w:val="1"/>
      <w:tblInd w:w="0" w:type="dxa"/>
      <w:tblBorders>
        <w:right w:val="single" w:color="000000" w:themeColor="accent2" w:themeTint="97" w:sz="4" w:space="0"/>
      </w:tblBorders>
    </w:tblPr>
    <w:tblStylePr w:type="band1Horz">
      <w:rPr>
        <w:rFonts w:ascii="Arial" w:hAnsi="Arial"/>
        <w:color w:val="9c3a37" w:themeColor="accent2" w:themeTint="97" w:themeShade="95"/>
        <w:sz w:val="22"/>
      </w:rPr>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band2Horz">
      <w:rPr>
        <w:rFonts w:ascii="Arial" w:hAnsi="Arial"/>
        <w:color w:val="9c3a37" w:themeColor="accent2" w:themeTint="97" w:themeShade="95"/>
        <w:sz w:val="22"/>
      </w:rPr>
    </w:tblStylePr>
    <w:tblStylePr w:type="firstCol">
      <w:rPr>
        <w:rFonts w:ascii="Arial" w:hAnsi="Arial"/>
        <w:i/>
        <w:color w:val="9c3a37" w:themeColor="accent2" w:themeTint="97" w:themeShade="95"/>
        <w:sz w:val="22"/>
      </w:rPr>
      <w:pPr>
        <w:jc w:val="right"/>
      </w:pPr>
      <w:tcPr>
        <w:shd w:val="clear" w:color="ffffff"/>
        <w:tcBorders>
          <w:top w:val="none" w:color="000000" w:sz="4" w:space="0"/>
          <w:left w:val="none" w:color="000000" w:sz="4" w:space="0"/>
          <w:bottom w:val="none" w:color="000000" w:sz="4" w:space="0"/>
          <w:right w:val="single" w:color="000000" w:themeColor="accent2" w:themeTint="97" w:sz="4" w:space="0"/>
        </w:tcBorders>
      </w:tcPr>
    </w:tblStylePr>
    <w:tblStylePr w:type="firstRow">
      <w:rPr>
        <w:rFonts w:ascii="Arial" w:hAnsi="Arial"/>
        <w:i/>
        <w:color w:val="9c3a37" w:themeColor="accent2" w:themeTint="97" w:themeShade="95"/>
        <w:sz w:val="22"/>
      </w:rPr>
      <w:tcPr>
        <w:shd w:val="clear" w:color="ffffff" w:themeColor="light1" w:fill="ffffff" w:themeFill="light1"/>
        <w:tcBorders>
          <w:top w:val="none" w:color="000000" w:sz="4" w:space="0"/>
          <w:left w:val="none" w:color="000000" w:sz="4" w:space="0"/>
          <w:bottom w:val="single" w:color="000000" w:themeColor="accent2" w:themeTint="97" w:sz="4" w:space="0"/>
          <w:right w:val="none" w:color="000000" w:sz="4" w:space="0"/>
        </w:tcBorders>
      </w:tcPr>
    </w:tblStylePr>
    <w:tblStylePr w:type="lastCol">
      <w:rPr>
        <w:rFonts w:ascii="Arial" w:hAnsi="Arial"/>
        <w:i/>
        <w:color w:val="9c3a37" w:themeColor="accent2" w:themeTint="97" w:themeShade="95"/>
        <w:sz w:val="22"/>
      </w:rPr>
      <w:tcPr>
        <w:shd w:val="clear" w:color="ffffff"/>
        <w:tcBorders>
          <w:top w:val="none" w:color="000000" w:sz="4" w:space="0"/>
          <w:left w:val="single" w:color="000000" w:themeColor="accent2" w:themeTint="97" w:sz="4" w:space="0"/>
          <w:bottom w:val="none" w:color="000000" w:sz="4" w:space="0"/>
          <w:right w:val="none" w:color="000000" w:sz="4" w:space="0"/>
        </w:tcBorders>
      </w:tcPr>
    </w:tblStylePr>
    <w:tblStylePr w:type="lastRow">
      <w:rPr>
        <w:rFonts w:ascii="Arial" w:hAnsi="Arial"/>
        <w:i/>
        <w:color w:val="9c3a37" w:themeColor="accent2" w:themeTint="97" w:themeShade="95"/>
        <w:sz w:val="22"/>
      </w:rPr>
      <w:tcPr>
        <w:shd w:val="clear" w:color="ffffff" w:themeColor="light1" w:fill="ffffff" w:themeFill="light1"/>
        <w:tcBorders>
          <w:top w:val="single" w:color="000000" w:themeColor="accent2" w:themeTint="97" w:sz="4" w:space="0"/>
          <w:left w:val="none" w:color="000000" w:sz="4" w:space="0"/>
          <w:bottom w:val="none" w:color="000000" w:sz="4" w:space="0"/>
          <w:right w:val="none" w:color="000000" w:sz="4" w:space="0"/>
        </w:tcBorders>
      </w:tcPr>
    </w:tblStylePr>
    <w:tblStylePr w:type="wholeTable">
      <w:rPr>
        <w:rFonts w:ascii="Arial" w:hAnsi="Arial"/>
        <w:color w:val="9c3a37" w:themeColor="accent2" w:themeTint="97" w:themeShade="95"/>
        <w:sz w:val="22"/>
      </w:rPr>
    </w:tblStylePr>
  </w:style>
  <w:style w:type="table" w:styleId="901">
    <w:name w:val="List Table 7 Colorful - Accent 3"/>
    <w:basedOn w:val="947"/>
    <w:uiPriority w:val="99"/>
    <w:pPr>
      <w:spacing w:after="0" w:line="240" w:lineRule="auto"/>
    </w:pPr>
    <w:tblPr>
      <w:tblStyleRowBandSize w:val="1"/>
      <w:tblStyleColBandSize w:val="1"/>
      <w:tblInd w:w="0" w:type="dxa"/>
      <w:tblBorders>
        <w:right w:val="single" w:color="000000" w:themeColor="accent3" w:themeTint="98" w:sz="4" w:space="0"/>
      </w:tblBorders>
    </w:tblPr>
    <w:tblStylePr w:type="band1Horz">
      <w:rPr>
        <w:rFonts w:ascii="Arial" w:hAnsi="Arial"/>
        <w:color w:val="7c983f" w:themeColor="accent3" w:themeTint="98" w:themeShade="95"/>
        <w:sz w:val="22"/>
      </w:rPr>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band2Horz">
      <w:rPr>
        <w:rFonts w:ascii="Arial" w:hAnsi="Arial"/>
        <w:color w:val="7c983f" w:themeColor="accent3" w:themeTint="98" w:themeShade="95"/>
        <w:sz w:val="22"/>
      </w:rPr>
    </w:tblStylePr>
    <w:tblStylePr w:type="firstCol">
      <w:rPr>
        <w:rFonts w:ascii="Arial" w:hAnsi="Arial"/>
        <w:i/>
        <w:color w:val="7c983f" w:themeColor="accent3" w:themeTint="98" w:themeShade="95"/>
        <w:sz w:val="22"/>
      </w:rPr>
      <w:pPr>
        <w:jc w:val="right"/>
      </w:pPr>
      <w:tcPr>
        <w:shd w:val="clear" w:color="ffffff"/>
        <w:tcBorders>
          <w:top w:val="none" w:color="000000" w:sz="4" w:space="0"/>
          <w:left w:val="none" w:color="000000" w:sz="4" w:space="0"/>
          <w:bottom w:val="none" w:color="000000" w:sz="4" w:space="0"/>
          <w:right w:val="single" w:color="000000" w:themeColor="accent3" w:themeTint="98" w:sz="4" w:space="0"/>
        </w:tcBorders>
      </w:tcPr>
    </w:tblStylePr>
    <w:tblStylePr w:type="firstRow">
      <w:rPr>
        <w:rFonts w:ascii="Arial" w:hAnsi="Arial"/>
        <w:i/>
        <w:color w:val="7c983f" w:themeColor="accent3" w:themeTint="98" w:themeShade="95"/>
        <w:sz w:val="22"/>
      </w:rPr>
      <w:tcPr>
        <w:shd w:val="clear" w:color="ffffff" w:themeColor="light1" w:fill="ffffff" w:themeFill="light1"/>
        <w:tcBorders>
          <w:top w:val="none" w:color="000000" w:sz="4" w:space="0"/>
          <w:left w:val="none" w:color="000000" w:sz="4" w:space="0"/>
          <w:bottom w:val="single" w:color="000000" w:themeColor="accent3" w:themeTint="98" w:sz="4" w:space="0"/>
          <w:right w:val="none" w:color="000000" w:sz="4" w:space="0"/>
        </w:tcBorders>
      </w:tcPr>
    </w:tblStylePr>
    <w:tblStylePr w:type="lastCol">
      <w:rPr>
        <w:rFonts w:ascii="Arial" w:hAnsi="Arial"/>
        <w:i/>
        <w:color w:val="7c983f" w:themeColor="accent3" w:themeTint="98" w:themeShade="95"/>
        <w:sz w:val="22"/>
      </w:rPr>
      <w:tcPr>
        <w:shd w:val="clear" w:color="ffffff"/>
        <w:tcBorders>
          <w:top w:val="none" w:color="000000" w:sz="4" w:space="0"/>
          <w:left w:val="single" w:color="000000" w:themeColor="accent3" w:themeTint="98" w:sz="4" w:space="0"/>
          <w:bottom w:val="none" w:color="000000" w:sz="4" w:space="0"/>
          <w:right w:val="none" w:color="000000" w:sz="4" w:space="0"/>
        </w:tcBorders>
      </w:tcPr>
    </w:tblStylePr>
    <w:tblStylePr w:type="lastRow">
      <w:rPr>
        <w:rFonts w:ascii="Arial" w:hAnsi="Arial"/>
        <w:i/>
        <w:color w:val="7c983f" w:themeColor="accent3" w:themeTint="98" w:themeShade="95"/>
        <w:sz w:val="22"/>
      </w:rPr>
      <w:tcPr>
        <w:shd w:val="clear" w:color="ffffff" w:themeColor="light1" w:fill="ffffff" w:themeFill="light1"/>
        <w:tcBorders>
          <w:top w:val="single" w:color="000000" w:themeColor="accent3" w:themeTint="98" w:sz="4" w:space="0"/>
          <w:left w:val="none" w:color="000000" w:sz="4" w:space="0"/>
          <w:bottom w:val="none" w:color="000000" w:sz="4" w:space="0"/>
          <w:right w:val="none" w:color="000000" w:sz="4" w:space="0"/>
        </w:tcBorders>
      </w:tcPr>
    </w:tblStylePr>
    <w:tblStylePr w:type="wholeTable">
      <w:rPr>
        <w:rFonts w:ascii="Arial" w:hAnsi="Arial"/>
        <w:color w:val="7c983f" w:themeColor="accent3" w:themeTint="98" w:themeShade="95"/>
        <w:sz w:val="22"/>
      </w:rPr>
    </w:tblStylePr>
  </w:style>
  <w:style w:type="table" w:styleId="902">
    <w:name w:val="List Table 7 Colorful - Accent 4"/>
    <w:basedOn w:val="947"/>
    <w:uiPriority w:val="99"/>
    <w:pPr>
      <w:spacing w:after="0" w:line="240" w:lineRule="auto"/>
    </w:pPr>
    <w:tblPr>
      <w:tblStyleRowBandSize w:val="1"/>
      <w:tblStyleColBandSize w:val="1"/>
      <w:tblInd w:w="0" w:type="dxa"/>
      <w:tblBorders>
        <w:right w:val="single" w:color="000000" w:themeColor="accent4" w:themeTint="9A" w:sz="4" w:space="0"/>
      </w:tblBorders>
    </w:tblPr>
    <w:tblStylePr w:type="band1Horz">
      <w:rPr>
        <w:rFonts w:ascii="Arial" w:hAnsi="Arial"/>
        <w:color w:val="664f82" w:themeColor="accent4" w:themeTint="9A" w:themeShade="95"/>
        <w:sz w:val="22"/>
      </w:rPr>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band2Horz">
      <w:rPr>
        <w:rFonts w:ascii="Arial" w:hAnsi="Arial"/>
        <w:color w:val="664f82" w:themeColor="accent4" w:themeTint="9A" w:themeShade="95"/>
        <w:sz w:val="22"/>
      </w:rPr>
    </w:tblStylePr>
    <w:tblStylePr w:type="firstCol">
      <w:rPr>
        <w:rFonts w:ascii="Arial" w:hAnsi="Arial"/>
        <w:i/>
        <w:color w:val="664f82" w:themeColor="accent4"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4" w:themeTint="9A" w:sz="4" w:space="0"/>
        </w:tcBorders>
      </w:tcPr>
    </w:tblStylePr>
    <w:tblStylePr w:type="firstRow">
      <w:rPr>
        <w:rFonts w:ascii="Arial" w:hAnsi="Arial"/>
        <w:i/>
        <w:color w:val="664f82" w:themeColor="accent4" w:themeTint="9A" w:themeShade="95"/>
        <w:sz w:val="22"/>
      </w:rPr>
      <w:tcPr>
        <w:shd w:val="clear" w:color="ffffff" w:themeColor="light1" w:fill="ffffff" w:themeFill="light1"/>
        <w:tcBorders>
          <w:top w:val="none" w:color="000000" w:sz="4" w:space="0"/>
          <w:left w:val="none" w:color="000000" w:sz="4" w:space="0"/>
          <w:bottom w:val="single" w:color="000000" w:themeColor="accent4" w:themeTint="9A" w:sz="4" w:space="0"/>
          <w:right w:val="none" w:color="000000" w:sz="4" w:space="0"/>
        </w:tcBorders>
      </w:tcPr>
    </w:tblStylePr>
    <w:tblStylePr w:type="lastCol">
      <w:rPr>
        <w:rFonts w:ascii="Arial" w:hAnsi="Arial"/>
        <w:i/>
        <w:color w:val="664f82" w:themeColor="accent4" w:themeTint="9A" w:themeShade="95"/>
        <w:sz w:val="22"/>
      </w:rPr>
      <w:tcPr>
        <w:shd w:val="clear" w:color="ffffff"/>
        <w:tcBorders>
          <w:top w:val="none" w:color="000000" w:sz="4" w:space="0"/>
          <w:left w:val="single" w:color="000000" w:themeColor="accent4" w:themeTint="9A" w:sz="4" w:space="0"/>
          <w:bottom w:val="none" w:color="000000" w:sz="4" w:space="0"/>
          <w:right w:val="none" w:color="000000" w:sz="4" w:space="0"/>
        </w:tcBorders>
      </w:tcPr>
    </w:tblStylePr>
    <w:tblStylePr w:type="lastRow">
      <w:rPr>
        <w:rFonts w:ascii="Arial" w:hAnsi="Arial"/>
        <w:i/>
        <w:color w:val="664f82" w:themeColor="accent4" w:themeTint="9A" w:themeShade="95"/>
        <w:sz w:val="22"/>
      </w:rPr>
      <w:tcPr>
        <w:shd w:val="clear" w:color="ffffff" w:themeColor="light1" w:fill="ffffff" w:themeFill="light1"/>
        <w:tcBorders>
          <w:top w:val="single" w:color="000000" w:themeColor="accent4" w:themeTint="9A" w:sz="4" w:space="0"/>
          <w:left w:val="none" w:color="000000" w:sz="4" w:space="0"/>
          <w:bottom w:val="none" w:color="000000" w:sz="4" w:space="0"/>
          <w:right w:val="none" w:color="000000" w:sz="4" w:space="0"/>
        </w:tcBorders>
      </w:tcPr>
    </w:tblStylePr>
    <w:tblStylePr w:type="wholeTable">
      <w:rPr>
        <w:rFonts w:ascii="Arial" w:hAnsi="Arial"/>
        <w:color w:val="664f82" w:themeColor="accent4" w:themeTint="9A" w:themeShade="95"/>
        <w:sz w:val="22"/>
      </w:rPr>
    </w:tblStylePr>
  </w:style>
  <w:style w:type="table" w:styleId="903">
    <w:name w:val="List Table 7 Colorful - Accent 5"/>
    <w:basedOn w:val="947"/>
    <w:uiPriority w:val="99"/>
    <w:pPr>
      <w:spacing w:after="0" w:line="240" w:lineRule="auto"/>
    </w:pPr>
    <w:tblPr>
      <w:tblStyleRowBandSize w:val="1"/>
      <w:tblStyleColBandSize w:val="1"/>
      <w:tblInd w:w="0" w:type="dxa"/>
      <w:tblBorders>
        <w:right w:val="single" w:color="000000" w:themeColor="accent5" w:themeTint="9A" w:sz="4" w:space="0"/>
      </w:tblBorders>
    </w:tblPr>
    <w:tblStylePr w:type="band1Horz">
      <w:rPr>
        <w:rFonts w:ascii="Arial" w:hAnsi="Arial"/>
        <w:color w:val="338aa0" w:themeColor="accent5" w:themeTint="9A" w:themeShade="95"/>
        <w:sz w:val="22"/>
      </w:rPr>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band2Horz">
      <w:rPr>
        <w:rFonts w:ascii="Arial" w:hAnsi="Arial"/>
        <w:color w:val="338aa0" w:themeColor="accent5" w:themeTint="9A" w:themeShade="95"/>
        <w:sz w:val="22"/>
      </w:rPr>
    </w:tblStylePr>
    <w:tblStylePr w:type="firstCol">
      <w:rPr>
        <w:rFonts w:ascii="Arial" w:hAnsi="Arial"/>
        <w:i/>
        <w:color w:val="338aa0" w:themeColor="accent5"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5" w:themeTint="9A" w:sz="4" w:space="0"/>
        </w:tcBorders>
      </w:tcPr>
    </w:tblStylePr>
    <w:tblStylePr w:type="firstRow">
      <w:rPr>
        <w:rFonts w:ascii="Arial" w:hAnsi="Arial"/>
        <w:i/>
        <w:color w:val="338aa0" w:themeColor="accent5" w:themeTint="9A" w:themeShade="95"/>
        <w:sz w:val="22"/>
      </w:rPr>
      <w:tcPr>
        <w:shd w:val="clear" w:color="ffffff" w:themeColor="light1" w:fill="ffffff" w:themeFill="light1"/>
        <w:tcBorders>
          <w:top w:val="none" w:color="000000" w:sz="4" w:space="0"/>
          <w:left w:val="none" w:color="000000" w:sz="4" w:space="0"/>
          <w:bottom w:val="single" w:color="000000" w:themeColor="accent5" w:themeTint="9A" w:sz="4" w:space="0"/>
          <w:right w:val="none" w:color="000000" w:sz="4" w:space="0"/>
        </w:tcBorders>
      </w:tcPr>
    </w:tblStylePr>
    <w:tblStylePr w:type="lastCol">
      <w:rPr>
        <w:rFonts w:ascii="Arial" w:hAnsi="Arial"/>
        <w:i/>
        <w:color w:val="338aa0" w:themeColor="accent5" w:themeTint="9A" w:themeShade="95"/>
        <w:sz w:val="22"/>
      </w:rPr>
      <w:tcPr>
        <w:shd w:val="clear" w:color="ffffff"/>
        <w:tcBorders>
          <w:top w:val="none" w:color="000000" w:sz="4" w:space="0"/>
          <w:left w:val="single" w:color="000000" w:themeColor="accent5" w:themeTint="9A" w:sz="4" w:space="0"/>
          <w:bottom w:val="none" w:color="000000" w:sz="4" w:space="0"/>
          <w:right w:val="none" w:color="000000" w:sz="4" w:space="0"/>
        </w:tcBorders>
      </w:tcPr>
    </w:tblStylePr>
    <w:tblStylePr w:type="lastRow">
      <w:rPr>
        <w:rFonts w:ascii="Arial" w:hAnsi="Arial"/>
        <w:i/>
        <w:color w:val="338aa0" w:themeColor="accent5" w:themeTint="9A" w:themeShade="95"/>
        <w:sz w:val="22"/>
      </w:rPr>
      <w:tcPr>
        <w:shd w:val="clear" w:color="ffffff" w:themeColor="light1" w:fill="ffffff" w:themeFill="light1"/>
        <w:tcBorders>
          <w:top w:val="single" w:color="000000" w:themeColor="accent5" w:themeTint="9A" w:sz="4" w:space="0"/>
          <w:left w:val="none" w:color="000000" w:sz="4" w:space="0"/>
          <w:bottom w:val="none" w:color="000000" w:sz="4" w:space="0"/>
          <w:right w:val="none" w:color="000000" w:sz="4" w:space="0"/>
        </w:tcBorders>
      </w:tcPr>
    </w:tblStylePr>
    <w:tblStylePr w:type="wholeTable">
      <w:rPr>
        <w:rFonts w:ascii="Arial" w:hAnsi="Arial"/>
        <w:color w:val="338aa0" w:themeColor="accent5" w:themeTint="9A" w:themeShade="95"/>
        <w:sz w:val="22"/>
      </w:rPr>
    </w:tblStylePr>
  </w:style>
  <w:style w:type="table" w:styleId="904">
    <w:name w:val="List Table 7 Colorful - Accent 6"/>
    <w:basedOn w:val="947"/>
    <w:uiPriority w:val="99"/>
    <w:pPr>
      <w:spacing w:after="0" w:line="240" w:lineRule="auto"/>
    </w:pPr>
    <w:tblPr>
      <w:tblStyleRowBandSize w:val="1"/>
      <w:tblStyleColBandSize w:val="1"/>
      <w:tblInd w:w="0" w:type="dxa"/>
      <w:tblBorders>
        <w:right w:val="single" w:color="000000" w:themeColor="accent6" w:themeTint="98" w:sz="4" w:space="0"/>
      </w:tblBorders>
    </w:tblPr>
    <w:tblStylePr w:type="band1Horz">
      <w:rPr>
        <w:rFonts w:ascii="Arial" w:hAnsi="Arial"/>
        <w:color w:val="d9680c" w:themeColor="accent6" w:themeTint="98" w:themeShade="95"/>
        <w:sz w:val="22"/>
      </w:rPr>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band2Horz">
      <w:rPr>
        <w:rFonts w:ascii="Arial" w:hAnsi="Arial"/>
        <w:color w:val="d9680c" w:themeColor="accent6" w:themeTint="98" w:themeShade="95"/>
        <w:sz w:val="22"/>
      </w:rPr>
    </w:tblStylePr>
    <w:tblStylePr w:type="firstCol">
      <w:rPr>
        <w:rFonts w:ascii="Arial" w:hAnsi="Arial"/>
        <w:i/>
        <w:color w:val="d9680c" w:themeColor="accent6" w:themeTint="98" w:themeShade="95"/>
        <w:sz w:val="22"/>
      </w:rPr>
      <w:pPr>
        <w:jc w:val="right"/>
      </w:pPr>
      <w:tcPr>
        <w:shd w:val="clear" w:color="ffffff"/>
        <w:tcBorders>
          <w:top w:val="none" w:color="000000" w:sz="4" w:space="0"/>
          <w:left w:val="none" w:color="000000" w:sz="4" w:space="0"/>
          <w:bottom w:val="none" w:color="000000" w:sz="4" w:space="0"/>
          <w:right w:val="single" w:color="000000" w:themeColor="accent6" w:themeTint="98" w:sz="4" w:space="0"/>
        </w:tcBorders>
      </w:tcPr>
    </w:tblStylePr>
    <w:tblStylePr w:type="firstRow">
      <w:rPr>
        <w:rFonts w:ascii="Arial" w:hAnsi="Arial"/>
        <w:i/>
        <w:color w:val="d9680c" w:themeColor="accent6" w:themeTint="98" w:themeShade="95"/>
        <w:sz w:val="22"/>
      </w:rPr>
      <w:tcPr>
        <w:shd w:val="clear" w:color="ffffff" w:themeColor="light1" w:fill="ffffff" w:themeFill="light1"/>
        <w:tcBorders>
          <w:top w:val="none" w:color="000000" w:sz="4" w:space="0"/>
          <w:left w:val="none" w:color="000000" w:sz="4" w:space="0"/>
          <w:bottom w:val="single" w:color="000000" w:themeColor="accent6" w:themeTint="98" w:sz="4" w:space="0"/>
          <w:right w:val="none" w:color="000000" w:sz="4" w:space="0"/>
        </w:tcBorders>
      </w:tcPr>
    </w:tblStylePr>
    <w:tblStylePr w:type="lastCol">
      <w:rPr>
        <w:rFonts w:ascii="Arial" w:hAnsi="Arial"/>
        <w:i/>
        <w:color w:val="d9680c" w:themeColor="accent6" w:themeTint="98" w:themeShade="95"/>
        <w:sz w:val="22"/>
      </w:rPr>
      <w:tcPr>
        <w:shd w:val="clear" w:color="ffffff"/>
        <w:tcBorders>
          <w:top w:val="none" w:color="000000" w:sz="4" w:space="0"/>
          <w:left w:val="single" w:color="000000" w:themeColor="accent6" w:themeTint="98" w:sz="4" w:space="0"/>
          <w:bottom w:val="none" w:color="000000" w:sz="4" w:space="0"/>
          <w:right w:val="none" w:color="000000" w:sz="4" w:space="0"/>
        </w:tcBorders>
      </w:tcPr>
    </w:tblStylePr>
    <w:tblStylePr w:type="lastRow">
      <w:rPr>
        <w:rFonts w:ascii="Arial" w:hAnsi="Arial"/>
        <w:i/>
        <w:color w:val="d9680c" w:themeColor="accent6" w:themeTint="98" w:themeShade="95"/>
        <w:sz w:val="22"/>
      </w:rPr>
      <w:tcPr>
        <w:shd w:val="clear" w:color="ffffff" w:themeColor="light1" w:fill="ffffff" w:themeFill="light1"/>
        <w:tcBorders>
          <w:top w:val="single" w:color="000000" w:themeColor="accent6" w:themeTint="98" w:sz="4" w:space="0"/>
          <w:left w:val="none" w:color="000000" w:sz="4" w:space="0"/>
          <w:bottom w:val="none" w:color="000000" w:sz="4" w:space="0"/>
          <w:right w:val="none" w:color="000000" w:sz="4" w:space="0"/>
        </w:tcBorders>
      </w:tcPr>
    </w:tblStylePr>
    <w:tblStylePr w:type="wholeTable">
      <w:rPr>
        <w:rFonts w:ascii="Arial" w:hAnsi="Arial"/>
        <w:color w:val="d9680c" w:themeColor="accent6" w:themeTint="98" w:themeShade="95"/>
        <w:sz w:val="22"/>
      </w:rPr>
    </w:tblStylePr>
  </w:style>
  <w:style w:type="table" w:styleId="905">
    <w:name w:val="Lined - Accent"/>
    <w:basedOn w:val="947"/>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text1" w:themeTint="0D" w:fill="f2f2f2" w:themeFill="text1" w:themeFillTint="0D"/>
      </w:tcPr>
    </w:tblStylePr>
    <w:tblStylePr w:type="band2Vert">
      <w:rPr>
        <w:rFonts w:ascii="Arial" w:hAnsi="Arial"/>
        <w:color w:val="404040"/>
        <w:sz w:val="22"/>
      </w:rPr>
      <w:tcPr>
        <w:shd w:val="clear" w:color="ffffff" w:themeColor="text1" w:themeTint="0D" w:fill="f2f2f2" w:themeFill="text1" w:themeFillTint="0D"/>
      </w:tcPr>
    </w:tblStylePr>
    <w:tblStylePr w:type="firstCol">
      <w:rPr>
        <w:rFonts w:ascii="Arial" w:hAnsi="Arial"/>
        <w:color w:val="f2f2f2"/>
        <w:sz w:val="22"/>
      </w:rPr>
      <w:tcPr>
        <w:shd w:val="clear" w:color="ffffff" w:themeColor="text1" w:themeTint="80" w:fill="7f7f7f" w:themeFill="text1" w:themeFillTint="80"/>
      </w:tcPr>
    </w:tblStylePr>
    <w:tblStylePr w:type="firstRow">
      <w:rPr>
        <w:rFonts w:ascii="Arial" w:hAnsi="Arial"/>
        <w:color w:val="f2f2f2"/>
        <w:sz w:val="22"/>
      </w:rPr>
      <w:tcPr>
        <w:shd w:val="clear" w:color="ffffff" w:themeColor="text1" w:themeTint="80" w:fill="7f7f7f" w:themeFill="text1" w:themeFillTint="80"/>
      </w:tcPr>
    </w:tblStylePr>
    <w:tblStylePr w:type="lastCol">
      <w:rPr>
        <w:rFonts w:ascii="Arial" w:hAnsi="Arial"/>
        <w:color w:val="f2f2f2"/>
        <w:sz w:val="22"/>
      </w:rPr>
      <w:tcPr>
        <w:shd w:val="clear" w:color="ffffff" w:themeColor="text1" w:themeTint="80" w:fill="7f7f7f" w:themeFill="text1" w:themeFillTint="80"/>
      </w:tcPr>
    </w:tblStylePr>
    <w:tblStylePr w:type="lastRow">
      <w:rPr>
        <w:rFonts w:ascii="Arial" w:hAnsi="Arial"/>
        <w:color w:val="f2f2f2"/>
        <w:sz w:val="22"/>
      </w:rPr>
      <w:tcPr>
        <w:shd w:val="clear" w:color="ffffff" w:themeColor="text1" w:themeTint="80" w:fill="7f7f7f" w:themeFill="text1" w:themeFillTint="80"/>
      </w:tcPr>
    </w:tblStylePr>
  </w:style>
  <w:style w:type="table" w:styleId="906">
    <w:name w:val="Lined - Accent 1"/>
    <w:basedOn w:val="947"/>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1" w:themeTint="50" w:fill="c7d7ea" w:themeFill="accent1" w:themeFillTint="50"/>
      </w:tcPr>
    </w:tblStylePr>
    <w:tblStylePr w:type="band2Vert">
      <w:rPr>
        <w:rFonts w:ascii="Arial" w:hAnsi="Arial"/>
        <w:color w:val="404040"/>
        <w:sz w:val="22"/>
      </w:rPr>
      <w:tcPr>
        <w:shd w:val="clear" w:color="ffffff" w:themeColor="accent1" w:themeTint="50" w:fill="c7d7ea" w:themeFill="accent1" w:themeFillTint="50"/>
      </w:tcPr>
    </w:tblStylePr>
    <w:tblStylePr w:type="firstCol">
      <w:rPr>
        <w:rFonts w:ascii="Arial" w:hAnsi="Arial"/>
        <w:color w:val="f2f2f2"/>
        <w:sz w:val="22"/>
      </w:rPr>
      <w:tcPr>
        <w:shd w:val="clear" w:color="ffffff" w:themeColor="accent1" w:themeTint="EA" w:fill="5d8dc2" w:themeFill="accent1" w:themeFillTint="EA"/>
      </w:tcPr>
    </w:tblStylePr>
    <w:tblStylePr w:type="firstRow">
      <w:rPr>
        <w:rFonts w:ascii="Arial" w:hAnsi="Arial"/>
        <w:color w:val="f2f2f2"/>
        <w:sz w:val="22"/>
      </w:rPr>
      <w:tcPr>
        <w:shd w:val="clear" w:color="ffffff" w:themeColor="accent1" w:themeTint="EA" w:fill="5d8dc2" w:themeFill="accent1" w:themeFillTint="EA"/>
      </w:tcPr>
    </w:tblStylePr>
    <w:tblStylePr w:type="lastCol">
      <w:rPr>
        <w:rFonts w:ascii="Arial" w:hAnsi="Arial"/>
        <w:color w:val="f2f2f2"/>
        <w:sz w:val="22"/>
      </w:rPr>
      <w:tcPr>
        <w:shd w:val="clear" w:color="ffffff" w:themeColor="accent1" w:themeTint="EA" w:fill="5d8dc2" w:themeFill="accent1" w:themeFillTint="EA"/>
      </w:tcPr>
    </w:tblStylePr>
    <w:tblStylePr w:type="lastRow">
      <w:rPr>
        <w:rFonts w:ascii="Arial" w:hAnsi="Arial"/>
        <w:color w:val="f2f2f2"/>
        <w:sz w:val="22"/>
      </w:rPr>
      <w:tcPr>
        <w:shd w:val="clear" w:color="ffffff" w:themeColor="accent1" w:themeTint="EA" w:fill="5d8dc2" w:themeFill="accent1" w:themeFillTint="EA"/>
      </w:tcPr>
    </w:tblStylePr>
  </w:style>
  <w:style w:type="table" w:styleId="907">
    <w:name w:val="Lined - Accent 2"/>
    <w:basedOn w:val="947"/>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2" w:themeTint="32" w:fill="f2dcdb" w:themeFill="accent2" w:themeFillTint="32"/>
      </w:tcPr>
    </w:tblStylePr>
    <w:tblStylePr w:type="band2Vert">
      <w:rPr>
        <w:rFonts w:ascii="Arial" w:hAnsi="Arial"/>
        <w:color w:val="404040"/>
        <w:sz w:val="22"/>
      </w:rPr>
      <w:tcPr>
        <w:shd w:val="clear" w:color="ffffff" w:themeColor="accent2" w:themeTint="32" w:fill="f2dcdb" w:themeFill="accent2" w:themeFillTint="32"/>
      </w:tcPr>
    </w:tblStylePr>
    <w:tblStylePr w:type="firstCol">
      <w:rPr>
        <w:rFonts w:ascii="Arial" w:hAnsi="Arial"/>
        <w:color w:val="f2f2f2"/>
        <w:sz w:val="22"/>
      </w:rPr>
      <w:tcPr>
        <w:shd w:val="clear" w:color="ffffff" w:themeColor="accent2" w:themeTint="97" w:fill="d99694" w:themeFill="accent2" w:themeFillTint="97"/>
      </w:tcPr>
    </w:tblStylePr>
    <w:tblStylePr w:type="firstRow">
      <w:rPr>
        <w:rFonts w:ascii="Arial" w:hAnsi="Arial"/>
        <w:color w:val="f2f2f2"/>
        <w:sz w:val="22"/>
      </w:rPr>
      <w:tcPr>
        <w:shd w:val="clear" w:color="ffffff" w:themeColor="accent2" w:themeTint="97" w:fill="d99694" w:themeFill="accent2" w:themeFillTint="97"/>
      </w:tcPr>
    </w:tblStylePr>
    <w:tblStylePr w:type="lastCol">
      <w:rPr>
        <w:rFonts w:ascii="Arial" w:hAnsi="Arial"/>
        <w:color w:val="f2f2f2"/>
        <w:sz w:val="22"/>
      </w:rPr>
      <w:tcPr>
        <w:shd w:val="clear" w:color="ffffff" w:themeColor="accent2" w:themeTint="97" w:fill="d99694" w:themeFill="accent2" w:themeFillTint="97"/>
      </w:tcPr>
    </w:tblStylePr>
    <w:tblStylePr w:type="lastRow">
      <w:rPr>
        <w:rFonts w:ascii="Arial" w:hAnsi="Arial"/>
        <w:color w:val="f2f2f2"/>
        <w:sz w:val="22"/>
      </w:rPr>
      <w:tcPr>
        <w:shd w:val="clear" w:color="ffffff" w:themeColor="accent2" w:themeTint="97" w:fill="d99694" w:themeFill="accent2" w:themeFillTint="97"/>
      </w:tcPr>
    </w:tblStylePr>
  </w:style>
  <w:style w:type="table" w:styleId="908">
    <w:name w:val="Lined - Accent 3"/>
    <w:basedOn w:val="947"/>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3" w:themeTint="34" w:fill="eaf0dd" w:themeFill="accent3" w:themeFillTint="34"/>
      </w:tcPr>
    </w:tblStylePr>
    <w:tblStylePr w:type="band2Vert">
      <w:rPr>
        <w:rFonts w:ascii="Arial" w:hAnsi="Arial"/>
        <w:color w:val="404040"/>
        <w:sz w:val="22"/>
      </w:rPr>
      <w:tcPr>
        <w:shd w:val="clear" w:color="ffffff" w:themeColor="accent3" w:themeTint="34" w:fill="eaf0dd" w:themeFill="accent3" w:themeFillTint="34"/>
      </w:tcPr>
    </w:tblStylePr>
    <w:tblStylePr w:type="firstCol">
      <w:rPr>
        <w:rFonts w:ascii="Arial" w:hAnsi="Arial"/>
        <w:color w:val="f2f2f2"/>
        <w:sz w:val="22"/>
      </w:rPr>
      <w:tcPr>
        <w:shd w:val="clear" w:color="ffffff" w:themeColor="accent3" w:themeTint="FE" w:fill="9bba59" w:themeFill="accent3" w:themeFillTint="FE"/>
      </w:tcPr>
    </w:tblStylePr>
    <w:tblStylePr w:type="firstRow">
      <w:rPr>
        <w:rFonts w:ascii="Arial" w:hAnsi="Arial"/>
        <w:color w:val="f2f2f2"/>
        <w:sz w:val="22"/>
      </w:rPr>
      <w:tcPr>
        <w:shd w:val="clear" w:color="ffffff" w:themeColor="accent3" w:themeTint="FE" w:fill="9bba59" w:themeFill="accent3" w:themeFillTint="FE"/>
      </w:tcPr>
    </w:tblStylePr>
    <w:tblStylePr w:type="lastCol">
      <w:rPr>
        <w:rFonts w:ascii="Arial" w:hAnsi="Arial"/>
        <w:color w:val="f2f2f2"/>
        <w:sz w:val="22"/>
      </w:rPr>
      <w:tcPr>
        <w:shd w:val="clear" w:color="ffffff" w:themeColor="accent3" w:themeTint="FE" w:fill="9bba59" w:themeFill="accent3" w:themeFillTint="FE"/>
      </w:tcPr>
    </w:tblStylePr>
    <w:tblStylePr w:type="lastRow">
      <w:rPr>
        <w:rFonts w:ascii="Arial" w:hAnsi="Arial"/>
        <w:color w:val="f2f2f2"/>
        <w:sz w:val="22"/>
      </w:rPr>
      <w:tcPr>
        <w:shd w:val="clear" w:color="ffffff" w:themeColor="accent3" w:themeTint="FE" w:fill="9bba59" w:themeFill="accent3" w:themeFillTint="FE"/>
      </w:tcPr>
    </w:tblStylePr>
  </w:style>
  <w:style w:type="table" w:styleId="909">
    <w:name w:val="Lined - Accent 4"/>
    <w:basedOn w:val="947"/>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4" w:themeTint="34" w:fill="e5dfec" w:themeFill="accent4" w:themeFillTint="34"/>
      </w:tcPr>
    </w:tblStylePr>
    <w:tblStylePr w:type="band2Vert">
      <w:rPr>
        <w:rFonts w:ascii="Arial" w:hAnsi="Arial"/>
        <w:color w:val="404040"/>
        <w:sz w:val="22"/>
      </w:rPr>
      <w:tcPr>
        <w:shd w:val="clear" w:color="ffffff" w:themeColor="accent4" w:themeTint="34" w:fill="e5dfec" w:themeFill="accent4" w:themeFillTint="34"/>
      </w:tcPr>
    </w:tblStylePr>
    <w:tblStylePr w:type="firstCol">
      <w:rPr>
        <w:rFonts w:ascii="Arial" w:hAnsi="Arial"/>
        <w:color w:val="f2f2f2"/>
        <w:sz w:val="22"/>
      </w:rPr>
      <w:tcPr>
        <w:shd w:val="clear" w:color="ffffff" w:themeColor="accent4" w:themeTint="9A" w:fill="b2a1c6" w:themeFill="accent4" w:themeFillTint="9A"/>
      </w:tcPr>
    </w:tblStylePr>
    <w:tblStylePr w:type="firstRow">
      <w:rPr>
        <w:rFonts w:ascii="Arial" w:hAnsi="Arial"/>
        <w:color w:val="f2f2f2"/>
        <w:sz w:val="22"/>
      </w:rPr>
      <w:tcPr>
        <w:shd w:val="clear" w:color="ffffff" w:themeColor="accent4" w:themeTint="9A" w:fill="b2a1c6" w:themeFill="accent4" w:themeFillTint="9A"/>
      </w:tcPr>
    </w:tblStylePr>
    <w:tblStylePr w:type="lastCol">
      <w:rPr>
        <w:rFonts w:ascii="Arial" w:hAnsi="Arial"/>
        <w:color w:val="f2f2f2"/>
        <w:sz w:val="22"/>
      </w:rPr>
      <w:tcPr>
        <w:shd w:val="clear" w:color="ffffff" w:themeColor="accent4" w:themeTint="9A" w:fill="b2a1c6" w:themeFill="accent4" w:themeFillTint="9A"/>
      </w:tcPr>
    </w:tblStylePr>
    <w:tblStylePr w:type="lastRow">
      <w:rPr>
        <w:rFonts w:ascii="Arial" w:hAnsi="Arial"/>
        <w:color w:val="f2f2f2"/>
        <w:sz w:val="22"/>
      </w:rPr>
      <w:tcPr>
        <w:shd w:val="clear" w:color="ffffff" w:themeColor="accent4" w:themeTint="9A" w:fill="b2a1c6" w:themeFill="accent4" w:themeFillTint="9A"/>
      </w:tcPr>
    </w:tblStylePr>
  </w:style>
  <w:style w:type="table" w:styleId="910">
    <w:name w:val="Lined - Accent 5"/>
    <w:basedOn w:val="947"/>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5" w:themeTint="34" w:fill="daeef3" w:themeFill="accent5" w:themeFillTint="34"/>
      </w:tcPr>
    </w:tblStylePr>
    <w:tblStylePr w:type="band2Vert">
      <w:rPr>
        <w:rFonts w:ascii="Arial" w:hAnsi="Arial"/>
        <w:color w:val="404040"/>
        <w:sz w:val="22"/>
      </w:rPr>
      <w:tcPr>
        <w:shd w:val="clear" w:color="ffffff" w:themeColor="accent5" w:themeTint="34" w:fill="daeef3" w:themeFill="accent5" w:themeFillTint="34"/>
      </w:tcPr>
    </w:tblStylePr>
    <w:tblStylePr w:type="firstCol">
      <w:rPr>
        <w:rFonts w:ascii="Arial" w:hAnsi="Arial"/>
        <w:color w:val="f2f2f2"/>
        <w:sz w:val="22"/>
      </w:rPr>
      <w:tcPr>
        <w:shd w:val="clear" w:color="ffffff" w:themeColor="accent5" w:fill="4bacc6" w:themeFill="accent5"/>
      </w:tcPr>
    </w:tblStylePr>
    <w:tblStylePr w:type="firstRow">
      <w:rPr>
        <w:rFonts w:ascii="Arial" w:hAnsi="Arial"/>
        <w:color w:val="f2f2f2"/>
        <w:sz w:val="22"/>
      </w:rPr>
      <w:tcPr>
        <w:shd w:val="clear" w:color="ffffff" w:themeColor="accent5" w:fill="4bacc6" w:themeFill="accent5"/>
      </w:tcPr>
    </w:tblStylePr>
    <w:tblStylePr w:type="lastCol">
      <w:rPr>
        <w:rFonts w:ascii="Arial" w:hAnsi="Arial"/>
        <w:color w:val="f2f2f2"/>
        <w:sz w:val="22"/>
      </w:rPr>
      <w:tcPr>
        <w:shd w:val="clear" w:color="ffffff" w:themeColor="accent5" w:fill="4bacc6" w:themeFill="accent5"/>
      </w:tcPr>
    </w:tblStylePr>
    <w:tblStylePr w:type="lastRow">
      <w:rPr>
        <w:rFonts w:ascii="Arial" w:hAnsi="Arial"/>
        <w:color w:val="f2f2f2"/>
        <w:sz w:val="22"/>
      </w:rPr>
      <w:tcPr>
        <w:shd w:val="clear" w:color="ffffff" w:themeColor="accent5" w:fill="4bacc6" w:themeFill="accent5"/>
      </w:tcPr>
    </w:tblStylePr>
  </w:style>
  <w:style w:type="table" w:styleId="911">
    <w:name w:val="Lined - Accent 6"/>
    <w:basedOn w:val="947"/>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6" w:themeTint="34" w:fill="fde9d8" w:themeFill="accent6" w:themeFillTint="34"/>
      </w:tcPr>
    </w:tblStylePr>
    <w:tblStylePr w:type="band2Vert">
      <w:rPr>
        <w:rFonts w:ascii="Arial" w:hAnsi="Arial"/>
        <w:color w:val="404040"/>
        <w:sz w:val="22"/>
      </w:rPr>
      <w:tcPr>
        <w:shd w:val="clear" w:color="ffffff" w:themeColor="accent6" w:themeTint="34" w:fill="fde9d8" w:themeFill="accent6" w:themeFillTint="34"/>
      </w:tcPr>
    </w:tblStylePr>
    <w:tblStylePr w:type="firstCol">
      <w:rPr>
        <w:rFonts w:ascii="Arial" w:hAnsi="Arial"/>
        <w:color w:val="f2f2f2"/>
        <w:sz w:val="22"/>
      </w:rPr>
      <w:tcPr>
        <w:shd w:val="clear" w:color="ffffff" w:themeColor="accent6" w:fill="f79646" w:themeFill="accent6"/>
      </w:tcPr>
    </w:tblStylePr>
    <w:tblStylePr w:type="firstRow">
      <w:rPr>
        <w:rFonts w:ascii="Arial" w:hAnsi="Arial"/>
        <w:color w:val="f2f2f2"/>
        <w:sz w:val="22"/>
      </w:rPr>
      <w:tcPr>
        <w:shd w:val="clear" w:color="ffffff" w:themeColor="accent6" w:fill="f79646" w:themeFill="accent6"/>
      </w:tcPr>
    </w:tblStylePr>
    <w:tblStylePr w:type="lastCol">
      <w:rPr>
        <w:rFonts w:ascii="Arial" w:hAnsi="Arial"/>
        <w:color w:val="f2f2f2"/>
        <w:sz w:val="22"/>
      </w:rPr>
      <w:tcPr>
        <w:shd w:val="clear" w:color="ffffff" w:themeColor="accent6" w:fill="f79646" w:themeFill="accent6"/>
      </w:tcPr>
    </w:tblStylePr>
    <w:tblStylePr w:type="lastRow">
      <w:rPr>
        <w:rFonts w:ascii="Arial" w:hAnsi="Arial"/>
        <w:color w:val="f2f2f2"/>
        <w:sz w:val="22"/>
      </w:rPr>
      <w:tcPr>
        <w:shd w:val="clear" w:color="ffffff" w:themeColor="accent6" w:fill="f79646" w:themeFill="accent6"/>
      </w:tcPr>
    </w:tblStylePr>
  </w:style>
  <w:style w:type="table" w:styleId="912">
    <w:name w:val="Bordered &amp; Lined - Accent"/>
    <w:basedOn w:val="947"/>
    <w:uiPriority w:val="99"/>
    <w:pPr>
      <w:spacing w:after="0" w:line="240" w:lineRule="auto"/>
    </w:pPr>
    <w:rPr>
      <w:color w:val="404040"/>
    </w:rPr>
    <w:tblPr>
      <w:tblStyleRowBandSize w:val="1"/>
      <w:tblStyleColBandSize w:val="1"/>
      <w:tblInd w:w="0" w:type="dxa"/>
      <w:tblBorders>
        <w:top w:val="single" w:color="000000" w:themeColor="text1" w:themeTint="A6" w:sz="4" w:space="0"/>
        <w:left w:val="single" w:color="000000" w:themeColor="text1" w:themeTint="A6" w:sz="4" w:space="0"/>
        <w:bottom w:val="single" w:color="000000" w:themeColor="text1" w:themeTint="A6" w:sz="4" w:space="0"/>
        <w:right w:val="single" w:color="000000" w:themeColor="text1" w:themeTint="A6" w:sz="4" w:space="0"/>
        <w:insideH w:val="single" w:color="000000" w:themeColor="text1" w:themeTint="A6" w:sz="4" w:space="0"/>
        <w:insideV w:val="single" w:color="000000" w:themeColor="text1" w:themeTint="A6"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text1" w:themeTint="0D" w:fill="f2f2f2" w:themeFill="text1" w:themeFillTint="0D"/>
      </w:tcPr>
    </w:tblStylePr>
    <w:tblStylePr w:type="band2Vert">
      <w:rPr>
        <w:rFonts w:ascii="Arial" w:hAnsi="Arial"/>
        <w:color w:val="404040"/>
        <w:sz w:val="22"/>
      </w:rPr>
      <w:tcPr>
        <w:shd w:val="clear" w:color="ffffff" w:themeColor="text1" w:themeTint="0D" w:fill="f2f2f2" w:themeFill="text1" w:themeFillTint="0D"/>
      </w:tcPr>
    </w:tblStylePr>
    <w:tblStylePr w:type="firstCol">
      <w:rPr>
        <w:rFonts w:ascii="Arial" w:hAnsi="Arial"/>
        <w:color w:val="f2f2f2"/>
        <w:sz w:val="22"/>
      </w:rPr>
      <w:tcPr>
        <w:shd w:val="clear" w:color="ffffff" w:themeColor="text1" w:themeTint="80" w:fill="7f7f7f" w:themeFill="text1" w:themeFillTint="80"/>
      </w:tcPr>
    </w:tblStylePr>
    <w:tblStylePr w:type="firstRow">
      <w:rPr>
        <w:rFonts w:ascii="Arial" w:hAnsi="Arial"/>
        <w:color w:val="f2f2f2"/>
        <w:sz w:val="22"/>
      </w:rPr>
      <w:tcPr>
        <w:shd w:val="clear" w:color="ffffff" w:themeColor="text1" w:themeTint="80" w:fill="7f7f7f" w:themeFill="text1" w:themeFillTint="80"/>
      </w:tcPr>
    </w:tblStylePr>
    <w:tblStylePr w:type="lastCol">
      <w:rPr>
        <w:rFonts w:ascii="Arial" w:hAnsi="Arial"/>
        <w:color w:val="f2f2f2"/>
        <w:sz w:val="22"/>
      </w:rPr>
      <w:tcPr>
        <w:shd w:val="clear" w:color="ffffff" w:themeColor="text1" w:themeTint="80" w:fill="7f7f7f" w:themeFill="text1" w:themeFillTint="80"/>
      </w:tcPr>
    </w:tblStylePr>
    <w:tblStylePr w:type="lastRow">
      <w:rPr>
        <w:rFonts w:ascii="Arial" w:hAnsi="Arial"/>
        <w:color w:val="f2f2f2"/>
        <w:sz w:val="22"/>
      </w:rPr>
      <w:tcPr>
        <w:shd w:val="clear" w:color="ffffff" w:themeColor="text1" w:themeTint="80" w:fill="7f7f7f" w:themeFill="text1" w:themeFillTint="80"/>
      </w:tcPr>
    </w:tblStylePr>
  </w:style>
  <w:style w:type="table" w:styleId="913">
    <w:name w:val="Bordered &amp; Lined - Accent 1"/>
    <w:basedOn w:val="947"/>
    <w:uiPriority w:val="99"/>
    <w:pPr>
      <w:spacing w:after="0" w:line="240" w:lineRule="auto"/>
    </w:pPr>
    <w:rPr>
      <w:color w:val="404040"/>
    </w:rPr>
    <w:tblPr>
      <w:tblStyleRowBandSize w:val="1"/>
      <w:tblStyleColBandSize w:val="1"/>
      <w:tblInd w:w="0" w:type="dxa"/>
      <w:tblBorders>
        <w:top w:val="single" w:color="000000" w:themeColor="accent1" w:themeShade="95" w:sz="4" w:space="0"/>
        <w:left w:val="single" w:color="000000" w:themeColor="accent1" w:themeShade="95" w:sz="4" w:space="0"/>
        <w:bottom w:val="single" w:color="000000" w:themeColor="accent1" w:themeShade="95" w:sz="4" w:space="0"/>
        <w:right w:val="single" w:color="000000" w:themeColor="accent1" w:themeShade="95" w:sz="4" w:space="0"/>
        <w:insideH w:val="single" w:color="000000" w:themeColor="accent1" w:themeShade="95" w:sz="4" w:space="0"/>
        <w:insideV w:val="single" w:color="000000" w:themeColor="accent1"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1" w:themeTint="50" w:fill="c7d7ea" w:themeFill="accent1" w:themeFillTint="50"/>
      </w:tcPr>
    </w:tblStylePr>
    <w:tblStylePr w:type="band2Vert">
      <w:rPr>
        <w:rFonts w:ascii="Arial" w:hAnsi="Arial"/>
        <w:color w:val="404040"/>
        <w:sz w:val="22"/>
      </w:rPr>
      <w:tcPr>
        <w:shd w:val="clear" w:color="ffffff" w:themeColor="accent1" w:themeTint="50" w:fill="c7d7ea" w:themeFill="accent1" w:themeFillTint="50"/>
      </w:tcPr>
    </w:tblStylePr>
    <w:tblStylePr w:type="firstCol">
      <w:rPr>
        <w:rFonts w:ascii="Arial" w:hAnsi="Arial"/>
        <w:color w:val="f2f2f2"/>
        <w:sz w:val="22"/>
      </w:rPr>
      <w:tcPr>
        <w:shd w:val="clear" w:color="ffffff" w:themeColor="accent1" w:themeTint="EA" w:fill="5d8dc2" w:themeFill="accent1" w:themeFillTint="EA"/>
      </w:tcPr>
    </w:tblStylePr>
    <w:tblStylePr w:type="firstRow">
      <w:rPr>
        <w:rFonts w:ascii="Arial" w:hAnsi="Arial"/>
        <w:color w:val="f2f2f2"/>
        <w:sz w:val="22"/>
      </w:rPr>
      <w:tcPr>
        <w:shd w:val="clear" w:color="ffffff" w:themeColor="accent1" w:themeTint="EA" w:fill="5d8dc2" w:themeFill="accent1" w:themeFillTint="EA"/>
      </w:tcPr>
    </w:tblStylePr>
    <w:tblStylePr w:type="lastCol">
      <w:rPr>
        <w:rFonts w:ascii="Arial" w:hAnsi="Arial"/>
        <w:color w:val="f2f2f2"/>
        <w:sz w:val="22"/>
      </w:rPr>
      <w:tcPr>
        <w:shd w:val="clear" w:color="ffffff" w:themeColor="accent1" w:themeTint="EA" w:fill="5d8dc2" w:themeFill="accent1" w:themeFillTint="EA"/>
      </w:tcPr>
    </w:tblStylePr>
    <w:tblStylePr w:type="lastRow">
      <w:rPr>
        <w:rFonts w:ascii="Arial" w:hAnsi="Arial"/>
        <w:color w:val="f2f2f2"/>
        <w:sz w:val="22"/>
      </w:rPr>
      <w:tcPr>
        <w:shd w:val="clear" w:color="ffffff" w:themeColor="accent1" w:themeTint="EA" w:fill="5d8dc2" w:themeFill="accent1" w:themeFillTint="EA"/>
      </w:tcPr>
    </w:tblStylePr>
  </w:style>
  <w:style w:type="table" w:styleId="914">
    <w:name w:val="Bordered &amp; Lined - Accent 2"/>
    <w:basedOn w:val="947"/>
    <w:uiPriority w:val="99"/>
    <w:pPr>
      <w:spacing w:after="0" w:line="240" w:lineRule="auto"/>
    </w:pPr>
    <w:rPr>
      <w:color w:val="404040"/>
    </w:rPr>
    <w:tblPr>
      <w:tblStyleRowBandSize w:val="1"/>
      <w:tblStyleColBandSize w:val="1"/>
      <w:tblInd w:w="0" w:type="dxa"/>
      <w:tblBorders>
        <w:top w:val="single" w:color="000000" w:themeColor="accent2" w:themeShade="95" w:sz="4" w:space="0"/>
        <w:left w:val="single" w:color="000000" w:themeColor="accent2" w:themeShade="95" w:sz="4" w:space="0"/>
        <w:bottom w:val="single" w:color="000000" w:themeColor="accent2" w:themeShade="95" w:sz="4" w:space="0"/>
        <w:right w:val="single" w:color="000000" w:themeColor="accent2" w:themeShade="95" w:sz="4" w:space="0"/>
        <w:insideH w:val="single" w:color="000000" w:themeColor="accent2" w:themeShade="95" w:sz="4" w:space="0"/>
        <w:insideV w:val="single" w:color="000000" w:themeColor="accent2"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2" w:themeTint="32" w:fill="f2dcdb" w:themeFill="accent2" w:themeFillTint="32"/>
      </w:tcPr>
    </w:tblStylePr>
    <w:tblStylePr w:type="band2Vert">
      <w:rPr>
        <w:rFonts w:ascii="Arial" w:hAnsi="Arial"/>
        <w:color w:val="404040"/>
        <w:sz w:val="22"/>
      </w:rPr>
      <w:tcPr>
        <w:shd w:val="clear" w:color="ffffff" w:themeColor="accent2" w:themeTint="32" w:fill="f2dcdb" w:themeFill="accent2" w:themeFillTint="32"/>
      </w:tcPr>
    </w:tblStylePr>
    <w:tblStylePr w:type="firstCol">
      <w:rPr>
        <w:rFonts w:ascii="Arial" w:hAnsi="Arial"/>
        <w:color w:val="f2f2f2"/>
        <w:sz w:val="22"/>
      </w:rPr>
      <w:tcPr>
        <w:shd w:val="clear" w:color="ffffff" w:themeColor="accent2" w:themeTint="97" w:fill="d99694" w:themeFill="accent2" w:themeFillTint="97"/>
      </w:tcPr>
    </w:tblStylePr>
    <w:tblStylePr w:type="firstRow">
      <w:rPr>
        <w:rFonts w:ascii="Arial" w:hAnsi="Arial"/>
        <w:color w:val="f2f2f2"/>
        <w:sz w:val="22"/>
      </w:rPr>
      <w:tcPr>
        <w:shd w:val="clear" w:color="ffffff" w:themeColor="accent2" w:themeTint="97" w:fill="d99694" w:themeFill="accent2" w:themeFillTint="97"/>
      </w:tcPr>
    </w:tblStylePr>
    <w:tblStylePr w:type="lastCol">
      <w:rPr>
        <w:rFonts w:ascii="Arial" w:hAnsi="Arial"/>
        <w:color w:val="f2f2f2"/>
        <w:sz w:val="22"/>
      </w:rPr>
      <w:tcPr>
        <w:shd w:val="clear" w:color="ffffff" w:themeColor="accent2" w:themeTint="97" w:fill="d99694" w:themeFill="accent2" w:themeFillTint="97"/>
      </w:tcPr>
    </w:tblStylePr>
    <w:tblStylePr w:type="lastRow">
      <w:rPr>
        <w:rFonts w:ascii="Arial" w:hAnsi="Arial"/>
        <w:color w:val="f2f2f2"/>
        <w:sz w:val="22"/>
      </w:rPr>
      <w:tcPr>
        <w:shd w:val="clear" w:color="ffffff" w:themeColor="accent2" w:themeTint="97" w:fill="d99694" w:themeFill="accent2" w:themeFillTint="97"/>
      </w:tcPr>
    </w:tblStylePr>
  </w:style>
  <w:style w:type="table" w:styleId="915">
    <w:name w:val="Bordered &amp; Lined - Accent 3"/>
    <w:basedOn w:val="947"/>
    <w:uiPriority w:val="99"/>
    <w:pPr>
      <w:spacing w:after="0" w:line="240" w:lineRule="auto"/>
    </w:pPr>
    <w:rPr>
      <w:color w:val="404040"/>
    </w:rPr>
    <w:tblPr>
      <w:tblStyleRowBandSize w:val="1"/>
      <w:tblStyleColBandSize w:val="1"/>
      <w:tblInd w:w="0" w:type="dxa"/>
      <w:tblBorders>
        <w:top w:val="single" w:color="000000" w:themeColor="accent3" w:themeShade="95" w:sz="4" w:space="0"/>
        <w:left w:val="single" w:color="000000" w:themeColor="accent3" w:themeShade="95" w:sz="4" w:space="0"/>
        <w:bottom w:val="single" w:color="000000" w:themeColor="accent3" w:themeShade="95" w:sz="4" w:space="0"/>
        <w:right w:val="single" w:color="000000" w:themeColor="accent3" w:themeShade="95" w:sz="4" w:space="0"/>
        <w:insideH w:val="single" w:color="000000" w:themeColor="accent3" w:themeShade="95" w:sz="4" w:space="0"/>
        <w:insideV w:val="single" w:color="000000" w:themeColor="accent3"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3" w:themeTint="34" w:fill="eaf0dd" w:themeFill="accent3" w:themeFillTint="34"/>
      </w:tcPr>
    </w:tblStylePr>
    <w:tblStylePr w:type="band2Vert">
      <w:rPr>
        <w:rFonts w:ascii="Arial" w:hAnsi="Arial"/>
        <w:color w:val="404040"/>
        <w:sz w:val="22"/>
      </w:rPr>
      <w:tcPr>
        <w:shd w:val="clear" w:color="ffffff" w:themeColor="accent3" w:themeTint="34" w:fill="eaf0dd" w:themeFill="accent3" w:themeFillTint="34"/>
      </w:tcPr>
    </w:tblStylePr>
    <w:tblStylePr w:type="firstCol">
      <w:rPr>
        <w:rFonts w:ascii="Arial" w:hAnsi="Arial"/>
        <w:color w:val="f2f2f2"/>
        <w:sz w:val="22"/>
      </w:rPr>
      <w:tcPr>
        <w:shd w:val="clear" w:color="ffffff" w:themeColor="accent3" w:themeTint="FE" w:fill="9bba59" w:themeFill="accent3" w:themeFillTint="FE"/>
      </w:tcPr>
    </w:tblStylePr>
    <w:tblStylePr w:type="firstRow">
      <w:rPr>
        <w:rFonts w:ascii="Arial" w:hAnsi="Arial"/>
        <w:color w:val="f2f2f2"/>
        <w:sz w:val="22"/>
      </w:rPr>
      <w:tcPr>
        <w:shd w:val="clear" w:color="ffffff" w:themeColor="accent3" w:themeTint="FE" w:fill="9bba59" w:themeFill="accent3" w:themeFillTint="FE"/>
      </w:tcPr>
    </w:tblStylePr>
    <w:tblStylePr w:type="lastCol">
      <w:rPr>
        <w:rFonts w:ascii="Arial" w:hAnsi="Arial"/>
        <w:color w:val="f2f2f2"/>
        <w:sz w:val="22"/>
      </w:rPr>
      <w:tcPr>
        <w:shd w:val="clear" w:color="ffffff" w:themeColor="accent3" w:themeTint="FE" w:fill="9bba59" w:themeFill="accent3" w:themeFillTint="FE"/>
      </w:tcPr>
    </w:tblStylePr>
    <w:tblStylePr w:type="lastRow">
      <w:rPr>
        <w:rFonts w:ascii="Arial" w:hAnsi="Arial"/>
        <w:color w:val="f2f2f2"/>
        <w:sz w:val="22"/>
      </w:rPr>
      <w:tcPr>
        <w:shd w:val="clear" w:color="ffffff" w:themeColor="accent3" w:themeTint="FE" w:fill="9bba59" w:themeFill="accent3" w:themeFillTint="FE"/>
      </w:tcPr>
    </w:tblStylePr>
  </w:style>
  <w:style w:type="table" w:styleId="916">
    <w:name w:val="Bordered &amp; Lined - Accent 4"/>
    <w:basedOn w:val="947"/>
    <w:uiPriority w:val="99"/>
    <w:pPr>
      <w:spacing w:after="0" w:line="240" w:lineRule="auto"/>
    </w:pPr>
    <w:rPr>
      <w:color w:val="404040"/>
    </w:rPr>
    <w:tblPr>
      <w:tblStyleRowBandSize w:val="1"/>
      <w:tblStyleColBandSize w:val="1"/>
      <w:tblInd w:w="0" w:type="dxa"/>
      <w:tblBorders>
        <w:top w:val="single" w:color="000000" w:themeColor="accent4" w:themeShade="95" w:sz="4" w:space="0"/>
        <w:left w:val="single" w:color="000000" w:themeColor="accent4" w:themeShade="95" w:sz="4" w:space="0"/>
        <w:bottom w:val="single" w:color="000000" w:themeColor="accent4" w:themeShade="95" w:sz="4" w:space="0"/>
        <w:right w:val="single" w:color="000000" w:themeColor="accent4" w:themeShade="95" w:sz="4" w:space="0"/>
        <w:insideH w:val="single" w:color="000000" w:themeColor="accent4" w:themeShade="95" w:sz="4" w:space="0"/>
        <w:insideV w:val="single" w:color="000000" w:themeColor="accent4"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4" w:themeTint="34" w:fill="e5dfec" w:themeFill="accent4" w:themeFillTint="34"/>
      </w:tcPr>
    </w:tblStylePr>
    <w:tblStylePr w:type="band2Vert">
      <w:rPr>
        <w:rFonts w:ascii="Arial" w:hAnsi="Arial"/>
        <w:color w:val="404040"/>
        <w:sz w:val="22"/>
      </w:rPr>
      <w:tcPr>
        <w:shd w:val="clear" w:color="ffffff" w:themeColor="accent4" w:themeTint="34" w:fill="e5dfec" w:themeFill="accent4" w:themeFillTint="34"/>
      </w:tcPr>
    </w:tblStylePr>
    <w:tblStylePr w:type="firstCol">
      <w:rPr>
        <w:rFonts w:ascii="Arial" w:hAnsi="Arial"/>
        <w:color w:val="f2f2f2"/>
        <w:sz w:val="22"/>
      </w:rPr>
      <w:tcPr>
        <w:shd w:val="clear" w:color="ffffff" w:themeColor="accent4" w:themeTint="9A" w:fill="b2a1c6" w:themeFill="accent4" w:themeFillTint="9A"/>
      </w:tcPr>
    </w:tblStylePr>
    <w:tblStylePr w:type="firstRow">
      <w:rPr>
        <w:rFonts w:ascii="Arial" w:hAnsi="Arial"/>
        <w:color w:val="f2f2f2"/>
        <w:sz w:val="22"/>
      </w:rPr>
      <w:tcPr>
        <w:shd w:val="clear" w:color="ffffff" w:themeColor="accent4" w:themeTint="9A" w:fill="b2a1c6" w:themeFill="accent4" w:themeFillTint="9A"/>
      </w:tcPr>
    </w:tblStylePr>
    <w:tblStylePr w:type="lastCol">
      <w:rPr>
        <w:rFonts w:ascii="Arial" w:hAnsi="Arial"/>
        <w:color w:val="f2f2f2"/>
        <w:sz w:val="22"/>
      </w:rPr>
      <w:tcPr>
        <w:shd w:val="clear" w:color="ffffff" w:themeColor="accent4" w:themeTint="9A" w:fill="b2a1c6" w:themeFill="accent4" w:themeFillTint="9A"/>
      </w:tcPr>
    </w:tblStylePr>
    <w:tblStylePr w:type="lastRow">
      <w:rPr>
        <w:rFonts w:ascii="Arial" w:hAnsi="Arial"/>
        <w:color w:val="f2f2f2"/>
        <w:sz w:val="22"/>
      </w:rPr>
      <w:tcPr>
        <w:shd w:val="clear" w:color="ffffff" w:themeColor="accent4" w:themeTint="9A" w:fill="b2a1c6" w:themeFill="accent4" w:themeFillTint="9A"/>
      </w:tcPr>
    </w:tblStylePr>
  </w:style>
  <w:style w:type="table" w:styleId="917">
    <w:name w:val="Bordered &amp; Lined - Accent 5"/>
    <w:basedOn w:val="947"/>
    <w:uiPriority w:val="99"/>
    <w:pPr>
      <w:spacing w:after="0" w:line="240" w:lineRule="auto"/>
    </w:pPr>
    <w:rPr>
      <w:color w:val="404040"/>
    </w:rPr>
    <w:tblPr>
      <w:tblStyleRowBandSize w:val="1"/>
      <w:tblStyleColBandSize w:val="1"/>
      <w:tblInd w:w="0" w:type="dxa"/>
      <w:tblBorders>
        <w:top w:val="single" w:color="000000" w:themeColor="accent5" w:themeShade="95" w:sz="4" w:space="0"/>
        <w:left w:val="single" w:color="000000" w:themeColor="accent5" w:themeShade="95" w:sz="4" w:space="0"/>
        <w:bottom w:val="single" w:color="000000" w:themeColor="accent5" w:themeShade="95" w:sz="4" w:space="0"/>
        <w:right w:val="single" w:color="000000" w:themeColor="accent5" w:themeShade="95" w:sz="4" w:space="0"/>
        <w:insideH w:val="single" w:color="000000" w:themeColor="accent5" w:themeShade="95" w:sz="4" w:space="0"/>
        <w:insideV w:val="single" w:color="000000" w:themeColor="accent5"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5" w:themeTint="34" w:fill="daeef3" w:themeFill="accent5" w:themeFillTint="34"/>
      </w:tcPr>
    </w:tblStylePr>
    <w:tblStylePr w:type="band2Vert">
      <w:rPr>
        <w:rFonts w:ascii="Arial" w:hAnsi="Arial"/>
        <w:color w:val="404040"/>
        <w:sz w:val="22"/>
      </w:rPr>
      <w:tcPr>
        <w:shd w:val="clear" w:color="ffffff" w:themeColor="accent5" w:themeTint="34" w:fill="daeef3" w:themeFill="accent5" w:themeFillTint="34"/>
      </w:tcPr>
    </w:tblStylePr>
    <w:tblStylePr w:type="firstCol">
      <w:rPr>
        <w:rFonts w:ascii="Arial" w:hAnsi="Arial"/>
        <w:color w:val="f2f2f2"/>
        <w:sz w:val="22"/>
      </w:rPr>
      <w:tcPr>
        <w:shd w:val="clear" w:color="ffffff" w:themeColor="accent5" w:fill="4bacc6" w:themeFill="accent5"/>
      </w:tcPr>
    </w:tblStylePr>
    <w:tblStylePr w:type="firstRow">
      <w:rPr>
        <w:rFonts w:ascii="Arial" w:hAnsi="Arial"/>
        <w:color w:val="f2f2f2"/>
        <w:sz w:val="22"/>
      </w:rPr>
      <w:tcPr>
        <w:shd w:val="clear" w:color="ffffff" w:themeColor="accent5" w:fill="4bacc6" w:themeFill="accent5"/>
      </w:tcPr>
    </w:tblStylePr>
    <w:tblStylePr w:type="lastCol">
      <w:rPr>
        <w:rFonts w:ascii="Arial" w:hAnsi="Arial"/>
        <w:color w:val="f2f2f2"/>
        <w:sz w:val="22"/>
      </w:rPr>
      <w:tcPr>
        <w:shd w:val="clear" w:color="ffffff" w:themeColor="accent5" w:fill="4bacc6" w:themeFill="accent5"/>
      </w:tcPr>
    </w:tblStylePr>
    <w:tblStylePr w:type="lastRow">
      <w:rPr>
        <w:rFonts w:ascii="Arial" w:hAnsi="Arial"/>
        <w:color w:val="f2f2f2"/>
        <w:sz w:val="22"/>
      </w:rPr>
      <w:tcPr>
        <w:shd w:val="clear" w:color="ffffff" w:themeColor="accent5" w:fill="4bacc6" w:themeFill="accent5"/>
      </w:tcPr>
    </w:tblStylePr>
  </w:style>
  <w:style w:type="table" w:styleId="918">
    <w:name w:val="Bordered &amp; Lined - Accent 6"/>
    <w:basedOn w:val="947"/>
    <w:uiPriority w:val="99"/>
    <w:pPr>
      <w:spacing w:after="0" w:line="240" w:lineRule="auto"/>
    </w:pPr>
    <w:rPr>
      <w:color w:val="404040"/>
    </w:rPr>
    <w:tblPr>
      <w:tblStyleRowBandSize w:val="1"/>
      <w:tblStyleColBandSize w:val="1"/>
      <w:tblInd w:w="0" w:type="dxa"/>
      <w:tblBorders>
        <w:top w:val="single" w:color="000000" w:themeColor="accent6" w:themeShade="95" w:sz="4" w:space="0"/>
        <w:left w:val="single" w:color="000000" w:themeColor="accent6" w:themeShade="95" w:sz="4" w:space="0"/>
        <w:bottom w:val="single" w:color="000000" w:themeColor="accent6" w:themeShade="95" w:sz="4" w:space="0"/>
        <w:right w:val="single" w:color="000000" w:themeColor="accent6" w:themeShade="95" w:sz="4" w:space="0"/>
        <w:insideH w:val="single" w:color="000000" w:themeColor="accent6" w:themeShade="95" w:sz="4" w:space="0"/>
        <w:insideV w:val="single" w:color="000000" w:themeColor="accent6"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6" w:themeTint="34" w:fill="fde9d8" w:themeFill="accent6" w:themeFillTint="34"/>
      </w:tcPr>
    </w:tblStylePr>
    <w:tblStylePr w:type="band2Vert">
      <w:rPr>
        <w:rFonts w:ascii="Arial" w:hAnsi="Arial"/>
        <w:color w:val="404040"/>
        <w:sz w:val="22"/>
      </w:rPr>
      <w:tcPr>
        <w:shd w:val="clear" w:color="ffffff" w:themeColor="accent6" w:themeTint="34" w:fill="fde9d8" w:themeFill="accent6" w:themeFillTint="34"/>
      </w:tcPr>
    </w:tblStylePr>
    <w:tblStylePr w:type="firstCol">
      <w:rPr>
        <w:rFonts w:ascii="Arial" w:hAnsi="Arial"/>
        <w:color w:val="f2f2f2"/>
        <w:sz w:val="22"/>
      </w:rPr>
      <w:tcPr>
        <w:shd w:val="clear" w:color="ffffff" w:themeColor="accent6" w:fill="f79646" w:themeFill="accent6"/>
      </w:tcPr>
    </w:tblStylePr>
    <w:tblStylePr w:type="firstRow">
      <w:rPr>
        <w:rFonts w:ascii="Arial" w:hAnsi="Arial"/>
        <w:color w:val="f2f2f2"/>
        <w:sz w:val="22"/>
      </w:rPr>
      <w:tcPr>
        <w:shd w:val="clear" w:color="ffffff" w:themeColor="accent6" w:fill="f79646" w:themeFill="accent6"/>
      </w:tcPr>
    </w:tblStylePr>
    <w:tblStylePr w:type="lastCol">
      <w:rPr>
        <w:rFonts w:ascii="Arial" w:hAnsi="Arial"/>
        <w:color w:val="f2f2f2"/>
        <w:sz w:val="22"/>
      </w:rPr>
      <w:tcPr>
        <w:shd w:val="clear" w:color="ffffff" w:themeColor="accent6" w:fill="f79646" w:themeFill="accent6"/>
      </w:tcPr>
    </w:tblStylePr>
    <w:tblStylePr w:type="lastRow">
      <w:rPr>
        <w:rFonts w:ascii="Arial" w:hAnsi="Arial"/>
        <w:color w:val="f2f2f2"/>
        <w:sz w:val="22"/>
      </w:rPr>
      <w:tcPr>
        <w:shd w:val="clear" w:color="ffffff" w:themeColor="accent6" w:fill="f79646" w:themeFill="accent6"/>
      </w:tcPr>
    </w:tblStylePr>
  </w:style>
  <w:style w:type="table" w:styleId="919">
    <w:name w:val="Bordered"/>
    <w:basedOn w:val="947"/>
    <w:uiPriority w:val="99"/>
    <w:pPr>
      <w:spacing w:after="0" w:line="240" w:lineRule="auto"/>
    </w:pPr>
    <w:tblPr>
      <w:tblStyleRowBandSize w:val="1"/>
      <w:tblStyleColBandSize w:val="1"/>
      <w:tblInd w:w="0" w:type="dxa"/>
      <w:tblBorders>
        <w:top w:val="single" w:color="000000" w:themeColor="text1" w:themeTint="26" w:sz="4" w:space="0"/>
        <w:left w:val="single" w:color="000000" w:themeColor="text1" w:themeTint="26" w:sz="4" w:space="0"/>
        <w:bottom w:val="single" w:color="000000" w:themeColor="text1" w:themeTint="26" w:sz="4" w:space="0"/>
        <w:right w:val="single" w:color="000000" w:themeColor="text1" w:themeTint="26" w:sz="4" w:space="0"/>
        <w:insideH w:val="single" w:color="000000" w:themeColor="text1" w:themeTint="26" w:sz="4" w:space="0"/>
        <w:insideV w:val="single" w:color="000000" w:themeColor="text1" w:themeTint="26" w:sz="4" w:space="0"/>
      </w:tblBorders>
    </w:tblPr>
    <w:tblStylePr w:type="band1Horz">
      <w:rPr>
        <w:rFonts w:ascii="Arial" w:hAnsi="Arial"/>
        <w:color w:val="404040"/>
        <w:sz w:val="22"/>
      </w:rPr>
      <w:tcPr>
        <w:tcBorders>
          <w:top w:val="single" w:color="000000" w:themeColor="text1" w:themeTint="26" w:sz="4" w:space="0"/>
          <w:left w:val="single" w:color="000000" w:themeColor="text1" w:themeTint="26" w:sz="4" w:space="0"/>
          <w:bottom w:val="single" w:color="000000" w:themeColor="text1" w:themeTint="26" w:sz="4" w:space="0"/>
          <w:right w:val="single" w:color="000000" w:themeColor="text1" w:themeTint="26"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text1" w:themeTint="80" w:sz="12" w:space="0"/>
        </w:tcBorders>
      </w:tcPr>
    </w:tblStylePr>
    <w:tblStylePr w:type="lastCol">
      <w:rPr>
        <w:rFonts w:ascii="Arial" w:hAnsi="Arial"/>
        <w:color w:val="404040"/>
        <w:sz w:val="22"/>
      </w:rPr>
      <w:tcPr>
        <w:tcBorders>
          <w:left w:val="single" w:color="000000" w:themeColor="text1" w:themeTint="80" w:sz="12" w:space="0"/>
        </w:tcBorders>
      </w:tcPr>
    </w:tblStylePr>
    <w:tblStylePr w:type="lastRow">
      <w:rPr>
        <w:rFonts w:ascii="Arial" w:hAnsi="Arial"/>
        <w:color w:val="404040"/>
        <w:sz w:val="22"/>
      </w:rPr>
      <w:tcPr>
        <w:tcBorders>
          <w:top w:val="single" w:color="000000" w:themeColor="text1" w:themeTint="80" w:sz="12" w:space="0"/>
        </w:tcBorders>
      </w:tcPr>
    </w:tblStylePr>
  </w:style>
  <w:style w:type="table" w:styleId="920">
    <w:name w:val="Bordered - Accent 1"/>
    <w:basedOn w:val="947"/>
    <w:uiPriority w:val="99"/>
    <w:pPr>
      <w:spacing w:after="0" w:line="240" w:lineRule="auto"/>
    </w:pPr>
    <w:tblPr>
      <w:tblStyleRowBandSize w:val="1"/>
      <w:tblStyleColBandSize w:val="1"/>
      <w:tblInd w:w="0" w:type="dxa"/>
      <w:tbl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insideH w:val="single" w:color="000000" w:themeColor="accent1" w:themeTint="67" w:sz="4" w:space="0"/>
        <w:insideV w:val="single" w:color="000000" w:themeColor="accent1" w:themeTint="67" w:sz="4" w:space="0"/>
      </w:tblBorders>
    </w:tblPr>
    <w:tblStylePr w:type="band1Horz">
      <w:rPr>
        <w:rFonts w:ascii="Arial" w:hAnsi="Arial"/>
        <w:color w:val="404040"/>
        <w:sz w:val="22"/>
      </w:rPr>
      <w:tcPr>
        <w:tc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1" w:sz="12" w:space="0"/>
        </w:tcBorders>
      </w:tcPr>
    </w:tblStylePr>
    <w:tblStylePr w:type="lastCol">
      <w:rPr>
        <w:rFonts w:ascii="Arial" w:hAnsi="Arial"/>
        <w:color w:val="404040"/>
        <w:sz w:val="22"/>
      </w:rPr>
      <w:tcPr>
        <w:tcBorders>
          <w:left w:val="single" w:color="000000" w:themeColor="accent1" w:sz="12" w:space="0"/>
        </w:tcBorders>
      </w:tcPr>
    </w:tblStylePr>
    <w:tblStylePr w:type="lastRow">
      <w:rPr>
        <w:rFonts w:ascii="Arial" w:hAnsi="Arial"/>
        <w:color w:val="404040"/>
        <w:sz w:val="22"/>
      </w:rPr>
      <w:tcPr>
        <w:tcBorders>
          <w:top w:val="single" w:color="000000" w:themeColor="accent1" w:sz="12" w:space="0"/>
        </w:tcBorders>
      </w:tcPr>
    </w:tblStylePr>
  </w:style>
  <w:style w:type="table" w:styleId="921">
    <w:name w:val="Bordered - Accent 2"/>
    <w:basedOn w:val="947"/>
    <w:uiPriority w:val="99"/>
    <w:pPr>
      <w:spacing w:after="0" w:line="240" w:lineRule="auto"/>
    </w:pPr>
    <w:tblPr>
      <w:tblStyleRowBandSize w:val="1"/>
      <w:tblStyleColBandSize w:val="1"/>
      <w:tblInd w:w="0" w:type="dxa"/>
      <w:tbl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insideH w:val="single" w:color="000000" w:themeColor="accent2" w:themeTint="67" w:sz="4" w:space="0"/>
        <w:insideV w:val="single" w:color="000000" w:themeColor="accent2" w:themeTint="67" w:sz="4" w:space="0"/>
      </w:tblBorders>
    </w:tblPr>
    <w:tblStylePr w:type="band1Horz">
      <w:rPr>
        <w:rFonts w:ascii="Arial" w:hAnsi="Arial"/>
        <w:color w:val="404040"/>
        <w:sz w:val="22"/>
      </w:rPr>
      <w:tcPr>
        <w:tc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2" w:themeTint="97" w:sz="12" w:space="0"/>
        </w:tcBorders>
      </w:tcPr>
    </w:tblStylePr>
    <w:tblStylePr w:type="lastCol">
      <w:rPr>
        <w:rFonts w:ascii="Arial" w:hAnsi="Arial"/>
        <w:color w:val="404040"/>
        <w:sz w:val="22"/>
      </w:rPr>
      <w:tcPr>
        <w:tcBorders>
          <w:left w:val="single" w:color="000000" w:themeColor="accent2" w:themeTint="97" w:sz="12" w:space="0"/>
        </w:tcBorders>
      </w:tcPr>
    </w:tblStylePr>
    <w:tblStylePr w:type="lastRow">
      <w:rPr>
        <w:rFonts w:ascii="Arial" w:hAnsi="Arial"/>
        <w:color w:val="404040"/>
        <w:sz w:val="22"/>
      </w:rPr>
      <w:tcPr>
        <w:tcBorders>
          <w:top w:val="single" w:color="000000" w:themeColor="accent2" w:themeTint="97" w:sz="12" w:space="0"/>
        </w:tcBorders>
      </w:tcPr>
    </w:tblStylePr>
  </w:style>
  <w:style w:type="table" w:styleId="922">
    <w:name w:val="Bordered - Accent 3"/>
    <w:basedOn w:val="947"/>
    <w:uiPriority w:val="99"/>
    <w:pPr>
      <w:spacing w:after="0" w:line="240" w:lineRule="auto"/>
    </w:pPr>
    <w:tblPr>
      <w:tblStyleRowBandSize w:val="1"/>
      <w:tblStyleColBandSize w:val="1"/>
      <w:tblInd w:w="0" w:type="dxa"/>
      <w:tbl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insideH w:val="single" w:color="000000" w:themeColor="accent3" w:themeTint="67" w:sz="4" w:space="0"/>
        <w:insideV w:val="single" w:color="000000" w:themeColor="accent3" w:themeTint="67" w:sz="4" w:space="0"/>
      </w:tblBorders>
    </w:tblPr>
    <w:tblStylePr w:type="band1Horz">
      <w:rPr>
        <w:rFonts w:ascii="Arial" w:hAnsi="Arial"/>
        <w:color w:val="404040"/>
        <w:sz w:val="22"/>
      </w:rPr>
      <w:tcPr>
        <w:tc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3" w:themeTint="98" w:sz="12" w:space="0"/>
        </w:tcBorders>
      </w:tcPr>
    </w:tblStylePr>
    <w:tblStylePr w:type="lastCol">
      <w:rPr>
        <w:rFonts w:ascii="Arial" w:hAnsi="Arial"/>
        <w:color w:val="404040"/>
        <w:sz w:val="22"/>
      </w:rPr>
      <w:tcPr>
        <w:tcBorders>
          <w:left w:val="single" w:color="000000" w:themeColor="accent3" w:themeTint="98" w:sz="12" w:space="0"/>
        </w:tcBorders>
      </w:tcPr>
    </w:tblStylePr>
    <w:tblStylePr w:type="lastRow">
      <w:rPr>
        <w:rFonts w:ascii="Arial" w:hAnsi="Arial"/>
        <w:color w:val="404040"/>
        <w:sz w:val="22"/>
      </w:rPr>
      <w:tcPr>
        <w:tcBorders>
          <w:top w:val="single" w:color="000000" w:themeColor="accent3" w:themeTint="98" w:sz="12" w:space="0"/>
        </w:tcBorders>
      </w:tcPr>
    </w:tblStylePr>
  </w:style>
  <w:style w:type="table" w:styleId="923">
    <w:name w:val="Bordered - Accent 4"/>
    <w:basedOn w:val="947"/>
    <w:uiPriority w:val="99"/>
    <w:pPr>
      <w:spacing w:after="0" w:line="240" w:lineRule="auto"/>
    </w:pPr>
    <w:tblPr>
      <w:tblStyleRowBandSize w:val="1"/>
      <w:tblStyleColBandSize w:val="1"/>
      <w:tblInd w:w="0" w:type="dxa"/>
      <w:tbl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insideH w:val="single" w:color="000000" w:themeColor="accent4" w:themeTint="67" w:sz="4" w:space="0"/>
        <w:insideV w:val="single" w:color="000000" w:themeColor="accent4" w:themeTint="67" w:sz="4" w:space="0"/>
      </w:tblBorders>
    </w:tblPr>
    <w:tblStylePr w:type="band1Horz">
      <w:rPr>
        <w:rFonts w:ascii="Arial" w:hAnsi="Arial"/>
        <w:color w:val="404040"/>
        <w:sz w:val="22"/>
      </w:rPr>
      <w:tcPr>
        <w:tc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4" w:themeTint="9A" w:sz="12" w:space="0"/>
        </w:tcBorders>
      </w:tcPr>
    </w:tblStylePr>
    <w:tblStylePr w:type="lastCol">
      <w:rPr>
        <w:rFonts w:ascii="Arial" w:hAnsi="Arial"/>
        <w:color w:val="404040"/>
        <w:sz w:val="22"/>
      </w:rPr>
      <w:tcPr>
        <w:tcBorders>
          <w:left w:val="single" w:color="000000" w:themeColor="accent4" w:themeTint="9A" w:sz="12" w:space="0"/>
        </w:tcBorders>
      </w:tcPr>
    </w:tblStylePr>
    <w:tblStylePr w:type="lastRow">
      <w:rPr>
        <w:rFonts w:ascii="Arial" w:hAnsi="Arial"/>
        <w:color w:val="404040"/>
        <w:sz w:val="22"/>
      </w:rPr>
      <w:tcPr>
        <w:tcBorders>
          <w:top w:val="single" w:color="000000" w:themeColor="accent4" w:themeTint="9A" w:sz="12" w:space="0"/>
        </w:tcBorders>
      </w:tcPr>
    </w:tblStylePr>
  </w:style>
  <w:style w:type="table" w:styleId="924">
    <w:name w:val="Bordered - Accent 5"/>
    <w:basedOn w:val="947"/>
    <w:uiPriority w:val="99"/>
    <w:pPr>
      <w:spacing w:after="0" w:line="240" w:lineRule="auto"/>
    </w:pPr>
    <w:tblPr>
      <w:tblStyleRowBandSize w:val="1"/>
      <w:tblStyleColBandSize w:val="1"/>
      <w:tblInd w:w="0" w:type="dxa"/>
      <w:tbl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insideH w:val="single" w:color="000000" w:themeColor="accent5" w:themeTint="67" w:sz="4" w:space="0"/>
        <w:insideV w:val="single" w:color="000000" w:themeColor="accent5" w:themeTint="67" w:sz="4" w:space="0"/>
      </w:tblBorders>
    </w:tblPr>
    <w:tblStylePr w:type="band1Horz">
      <w:rPr>
        <w:rFonts w:ascii="Arial" w:hAnsi="Arial"/>
        <w:color w:val="404040"/>
        <w:sz w:val="22"/>
      </w:rPr>
      <w:tcPr>
        <w:tc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5" w:themeTint="9A" w:sz="12" w:space="0"/>
        </w:tcBorders>
      </w:tcPr>
    </w:tblStylePr>
    <w:tblStylePr w:type="lastCol">
      <w:rPr>
        <w:rFonts w:ascii="Arial" w:hAnsi="Arial"/>
        <w:color w:val="404040"/>
        <w:sz w:val="22"/>
      </w:rPr>
      <w:tcPr>
        <w:tcBorders>
          <w:left w:val="single" w:color="000000" w:themeColor="accent5" w:themeTint="9A" w:sz="12" w:space="0"/>
        </w:tcBorders>
      </w:tcPr>
    </w:tblStylePr>
    <w:tblStylePr w:type="lastRow">
      <w:rPr>
        <w:rFonts w:ascii="Arial" w:hAnsi="Arial"/>
        <w:color w:val="404040"/>
        <w:sz w:val="22"/>
      </w:rPr>
      <w:tcPr>
        <w:tcBorders>
          <w:top w:val="single" w:color="000000" w:themeColor="accent5" w:themeTint="9A" w:sz="12" w:space="0"/>
        </w:tcBorders>
      </w:tcPr>
    </w:tblStylePr>
  </w:style>
  <w:style w:type="table" w:styleId="925">
    <w:name w:val="Bordered - Accent 6"/>
    <w:basedOn w:val="947"/>
    <w:uiPriority w:val="99"/>
    <w:pPr>
      <w:spacing w:after="0" w:line="240" w:lineRule="auto"/>
    </w:pPr>
    <w:tblPr>
      <w:tblStyleRowBandSize w:val="1"/>
      <w:tblStyleColBandSize w:val="1"/>
      <w:tblInd w:w="0" w:type="dxa"/>
      <w:tbl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insideH w:val="single" w:color="000000" w:themeColor="accent6" w:themeTint="67" w:sz="4" w:space="0"/>
        <w:insideV w:val="single" w:color="000000" w:themeColor="accent6" w:themeTint="67" w:sz="4" w:space="0"/>
      </w:tblBorders>
    </w:tblPr>
    <w:tblStylePr w:type="band1Horz">
      <w:rPr>
        <w:rFonts w:ascii="Arial" w:hAnsi="Arial"/>
        <w:color w:val="404040"/>
        <w:sz w:val="22"/>
      </w:rPr>
      <w:tcPr>
        <w:tc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6" w:themeTint="98" w:sz="12" w:space="0"/>
        </w:tcBorders>
      </w:tcPr>
    </w:tblStylePr>
    <w:tblStylePr w:type="lastCol">
      <w:rPr>
        <w:rFonts w:ascii="Arial" w:hAnsi="Arial"/>
        <w:color w:val="404040"/>
        <w:sz w:val="22"/>
      </w:rPr>
      <w:tcPr>
        <w:tcBorders>
          <w:left w:val="single" w:color="000000" w:themeColor="accent6" w:themeTint="98" w:sz="12" w:space="0"/>
        </w:tcBorders>
      </w:tcPr>
    </w:tblStylePr>
    <w:tblStylePr w:type="lastRow">
      <w:rPr>
        <w:rFonts w:ascii="Arial" w:hAnsi="Arial"/>
        <w:color w:val="404040"/>
        <w:sz w:val="22"/>
      </w:rPr>
      <w:tcPr>
        <w:tcBorders>
          <w:top w:val="single" w:color="000000" w:themeColor="accent6" w:themeTint="98" w:sz="12" w:space="0"/>
        </w:tcBorders>
      </w:tcPr>
    </w:tblStylePr>
  </w:style>
  <w:style w:type="character" w:styleId="926">
    <w:name w:val="Footnote Text Char"/>
    <w:link w:val="986"/>
    <w:uiPriority w:val="99"/>
    <w:rPr>
      <w:sz w:val="18"/>
    </w:rPr>
  </w:style>
  <w:style w:type="paragraph" w:styleId="927">
    <w:name w:val="endnote text"/>
    <w:basedOn w:val="941"/>
    <w:link w:val="928"/>
    <w:uiPriority w:val="99"/>
    <w:semiHidden/>
    <w:unhideWhenUsed/>
    <w:pPr>
      <w:spacing w:after="0" w:line="240" w:lineRule="auto"/>
    </w:pPr>
    <w:rPr>
      <w:sz w:val="20"/>
    </w:rPr>
  </w:style>
  <w:style w:type="character" w:styleId="928">
    <w:name w:val="Endnote Text Char"/>
    <w:link w:val="927"/>
    <w:uiPriority w:val="99"/>
    <w:rPr>
      <w:sz w:val="20"/>
    </w:rPr>
  </w:style>
  <w:style w:type="character" w:styleId="929">
    <w:name w:val="endnote reference"/>
    <w:basedOn w:val="946"/>
    <w:uiPriority w:val="99"/>
    <w:semiHidden/>
    <w:unhideWhenUsed/>
    <w:rPr>
      <w:vertAlign w:val="superscript"/>
    </w:rPr>
  </w:style>
  <w:style w:type="paragraph" w:styleId="930">
    <w:name w:val="toc 1"/>
    <w:basedOn w:val="941"/>
    <w:next w:val="941"/>
    <w:uiPriority w:val="39"/>
    <w:unhideWhenUsed/>
    <w:pPr>
      <w:ind w:left="0" w:right="0" w:firstLine="0"/>
      <w:spacing w:after="57"/>
    </w:pPr>
  </w:style>
  <w:style w:type="paragraph" w:styleId="931">
    <w:name w:val="toc 2"/>
    <w:basedOn w:val="941"/>
    <w:next w:val="941"/>
    <w:uiPriority w:val="39"/>
    <w:unhideWhenUsed/>
    <w:pPr>
      <w:ind w:left="283" w:right="0" w:firstLine="0"/>
      <w:spacing w:after="57"/>
    </w:pPr>
  </w:style>
  <w:style w:type="paragraph" w:styleId="932">
    <w:name w:val="toc 3"/>
    <w:basedOn w:val="941"/>
    <w:next w:val="941"/>
    <w:uiPriority w:val="39"/>
    <w:unhideWhenUsed/>
    <w:pPr>
      <w:ind w:left="567" w:right="0" w:firstLine="0"/>
      <w:spacing w:after="57"/>
    </w:pPr>
  </w:style>
  <w:style w:type="paragraph" w:styleId="933">
    <w:name w:val="toc 4"/>
    <w:basedOn w:val="941"/>
    <w:next w:val="941"/>
    <w:uiPriority w:val="39"/>
    <w:unhideWhenUsed/>
    <w:pPr>
      <w:ind w:left="850" w:right="0" w:firstLine="0"/>
      <w:spacing w:after="57"/>
    </w:pPr>
  </w:style>
  <w:style w:type="paragraph" w:styleId="934">
    <w:name w:val="toc 5"/>
    <w:basedOn w:val="941"/>
    <w:next w:val="941"/>
    <w:uiPriority w:val="39"/>
    <w:unhideWhenUsed/>
    <w:pPr>
      <w:ind w:left="1134" w:right="0" w:firstLine="0"/>
      <w:spacing w:after="57"/>
    </w:pPr>
  </w:style>
  <w:style w:type="paragraph" w:styleId="935">
    <w:name w:val="toc 6"/>
    <w:basedOn w:val="941"/>
    <w:next w:val="941"/>
    <w:uiPriority w:val="39"/>
    <w:unhideWhenUsed/>
    <w:pPr>
      <w:ind w:left="1417" w:right="0" w:firstLine="0"/>
      <w:spacing w:after="57"/>
    </w:pPr>
  </w:style>
  <w:style w:type="paragraph" w:styleId="936">
    <w:name w:val="toc 7"/>
    <w:basedOn w:val="941"/>
    <w:next w:val="941"/>
    <w:uiPriority w:val="39"/>
    <w:unhideWhenUsed/>
    <w:pPr>
      <w:ind w:left="1701" w:right="0" w:firstLine="0"/>
      <w:spacing w:after="57"/>
    </w:pPr>
  </w:style>
  <w:style w:type="paragraph" w:styleId="937">
    <w:name w:val="toc 8"/>
    <w:basedOn w:val="941"/>
    <w:next w:val="941"/>
    <w:uiPriority w:val="39"/>
    <w:unhideWhenUsed/>
    <w:pPr>
      <w:ind w:left="1984" w:right="0" w:firstLine="0"/>
      <w:spacing w:after="57"/>
    </w:pPr>
  </w:style>
  <w:style w:type="paragraph" w:styleId="938">
    <w:name w:val="toc 9"/>
    <w:basedOn w:val="941"/>
    <w:next w:val="941"/>
    <w:uiPriority w:val="39"/>
    <w:unhideWhenUsed/>
    <w:pPr>
      <w:ind w:left="2268" w:right="0" w:firstLine="0"/>
      <w:spacing w:after="57"/>
    </w:pPr>
  </w:style>
  <w:style w:type="paragraph" w:styleId="939">
    <w:name w:val="TOC Heading"/>
    <w:uiPriority w:val="39"/>
    <w:unhideWhenUsed/>
  </w:style>
  <w:style w:type="paragraph" w:styleId="940">
    <w:name w:val="table of figures"/>
    <w:basedOn w:val="941"/>
    <w:next w:val="941"/>
    <w:uiPriority w:val="99"/>
    <w:unhideWhenUsed/>
    <w:pPr>
      <w:spacing w:after="0" w:afterAutospacing="0"/>
    </w:pPr>
  </w:style>
  <w:style w:type="paragraph" w:styleId="941" w:default="1">
    <w:name w:val="Normal"/>
    <w:qFormat/>
  </w:style>
  <w:style w:type="paragraph" w:styleId="942">
    <w:name w:val="Heading 1"/>
    <w:basedOn w:val="941"/>
    <w:next w:val="941"/>
    <w:link w:val="957"/>
    <w:uiPriority w:val="9"/>
    <w:qFormat/>
    <w:pPr>
      <w:keepLines/>
      <w:keepNext/>
      <w:spacing w:before="480"/>
      <w:outlineLvl w:val="0"/>
    </w:pPr>
    <w:rPr>
      <w:rFonts w:asciiTheme="majorHAnsi" w:hAnsiTheme="majorHAnsi" w:eastAsiaTheme="majorEastAsia" w:cstheme="majorBidi"/>
      <w:b/>
      <w:bCs/>
      <w:color w:val="365f91" w:themeColor="accent1" w:themeShade="BF"/>
      <w:sz w:val="28"/>
      <w:szCs w:val="28"/>
    </w:rPr>
  </w:style>
  <w:style w:type="paragraph" w:styleId="943">
    <w:name w:val="Heading 2"/>
    <w:basedOn w:val="941"/>
    <w:next w:val="941"/>
    <w:link w:val="958"/>
    <w:uiPriority w:val="9"/>
    <w:semiHidden/>
    <w:unhideWhenUsed/>
    <w:qFormat/>
    <w:pPr>
      <w:keepLines/>
      <w:keepNext/>
      <w:spacing w:before="200"/>
      <w:outlineLvl w:val="1"/>
    </w:pPr>
    <w:rPr>
      <w:rFonts w:asciiTheme="majorHAnsi" w:hAnsiTheme="majorHAnsi" w:eastAsiaTheme="majorEastAsia" w:cstheme="majorBidi"/>
      <w:b/>
      <w:bCs/>
      <w:color w:val="4f81bd" w:themeColor="accent1"/>
      <w:sz w:val="26"/>
      <w:szCs w:val="26"/>
    </w:rPr>
  </w:style>
  <w:style w:type="paragraph" w:styleId="944">
    <w:name w:val="Heading 3"/>
    <w:basedOn w:val="941"/>
    <w:next w:val="941"/>
    <w:link w:val="959"/>
    <w:uiPriority w:val="9"/>
    <w:unhideWhenUsed/>
    <w:qFormat/>
    <w:pPr>
      <w:keepLines/>
      <w:keepNext/>
      <w:spacing w:before="200"/>
      <w:outlineLvl w:val="2"/>
    </w:pPr>
    <w:rPr>
      <w:rFonts w:asciiTheme="majorHAnsi" w:hAnsiTheme="majorHAnsi" w:eastAsiaTheme="majorEastAsia" w:cstheme="majorBidi"/>
      <w:b/>
      <w:bCs/>
      <w:color w:val="4f81bd" w:themeColor="accent1"/>
    </w:rPr>
  </w:style>
  <w:style w:type="paragraph" w:styleId="945">
    <w:name w:val="Heading 4"/>
    <w:basedOn w:val="941"/>
    <w:link w:val="949"/>
    <w:uiPriority w:val="9"/>
    <w:qFormat/>
    <w:pPr>
      <w:spacing w:before="100" w:beforeAutospacing="1" w:after="100" w:afterAutospacing="1"/>
      <w:outlineLvl w:val="3"/>
    </w:pPr>
    <w:rPr>
      <w:rFonts w:ascii="Times New Roman CYR" w:hAnsi="Times New Roman CYR" w:eastAsia="Times New Roman" w:cs="Times New Roman"/>
      <w:b/>
      <w:bCs/>
      <w:sz w:val="26"/>
      <w:szCs w:val="26"/>
    </w:rPr>
  </w:style>
  <w:style w:type="character" w:styleId="946" w:default="1">
    <w:name w:val="Default Paragraph Font"/>
    <w:uiPriority w:val="1"/>
    <w:semiHidden/>
    <w:unhideWhenUsed/>
  </w:style>
  <w:style w:type="table" w:styleId="947" w:default="1">
    <w:name w:val="Normal Table"/>
    <w:uiPriority w:val="99"/>
    <w:semiHidden/>
    <w:unhideWhenUsed/>
    <w:tblPr>
      <w:tblInd w:w="0" w:type="dxa"/>
      <w:tblCellMar>
        <w:left w:w="108" w:type="dxa"/>
        <w:top w:w="0" w:type="dxa"/>
        <w:right w:w="108" w:type="dxa"/>
        <w:bottom w:w="0" w:type="dxa"/>
      </w:tblCellMar>
    </w:tblPr>
  </w:style>
  <w:style w:type="numbering" w:styleId="948" w:default="1">
    <w:name w:val="No List"/>
    <w:uiPriority w:val="99"/>
    <w:semiHidden/>
    <w:unhideWhenUsed/>
  </w:style>
  <w:style w:type="character" w:styleId="949" w:customStyle="1">
    <w:name w:val="Заголовок 4 Знак"/>
    <w:basedOn w:val="946"/>
    <w:link w:val="945"/>
    <w:uiPriority w:val="9"/>
    <w:rPr>
      <w:rFonts w:ascii="Times New Roman CYR" w:hAnsi="Times New Roman CYR" w:eastAsia="Times New Roman" w:cs="Times New Roman"/>
      <w:b/>
      <w:bCs/>
      <w:sz w:val="26"/>
      <w:szCs w:val="26"/>
    </w:rPr>
  </w:style>
  <w:style w:type="character" w:styleId="950" w:customStyle="1">
    <w:name w:val="Стандартный HTML Знак"/>
    <w:basedOn w:val="946"/>
    <w:link w:val="951"/>
    <w:rPr>
      <w:rFonts w:ascii="Courier Cyr" w:hAnsi="Courier Cyr" w:eastAsia="Times New Roman" w:cs="Courier New"/>
      <w:color w:val="000000"/>
      <w:sz w:val="20"/>
      <w:szCs w:val="20"/>
    </w:rPr>
  </w:style>
  <w:style w:type="paragraph" w:styleId="951">
    <w:name w:val="HTML Preformatted"/>
    <w:basedOn w:val="941"/>
    <w:link w:val="950"/>
    <w:unhideWhenUsed/>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Pr>
      <w:rFonts w:ascii="Courier Cyr" w:hAnsi="Courier Cyr" w:eastAsia="Times New Roman" w:cs="Courier New"/>
      <w:color w:val="000000"/>
      <w:sz w:val="20"/>
      <w:szCs w:val="20"/>
    </w:rPr>
  </w:style>
  <w:style w:type="character" w:styleId="952" w:customStyle="1">
    <w:name w:val="z-Начало формы Знак"/>
    <w:basedOn w:val="946"/>
    <w:link w:val="953"/>
    <w:uiPriority w:val="99"/>
    <w:semiHidden/>
    <w:rPr>
      <w:rFonts w:ascii="Arial" w:hAnsi="Arial" w:eastAsia="Times New Roman" w:cs="Arial"/>
      <w:vanish/>
      <w:sz w:val="16"/>
      <w:szCs w:val="16"/>
    </w:rPr>
  </w:style>
  <w:style w:type="paragraph" w:styleId="953">
    <w:name w:val="HTML Top of Form"/>
    <w:basedOn w:val="941"/>
    <w:next w:val="941"/>
    <w:link w:val="952"/>
    <w:hidden/>
    <w:uiPriority w:val="99"/>
    <w:semiHidden/>
    <w:unhideWhenUsed/>
    <w:pPr>
      <w:jc w:val="center"/>
      <w:pBdr>
        <w:bottom w:val="single" w:color="auto" w:sz="6" w:space="1"/>
      </w:pBdr>
    </w:pPr>
    <w:rPr>
      <w:rFonts w:ascii="Arial" w:hAnsi="Arial" w:eastAsia="Times New Roman" w:cs="Arial"/>
      <w:vanish/>
      <w:sz w:val="16"/>
      <w:szCs w:val="16"/>
    </w:rPr>
  </w:style>
  <w:style w:type="character" w:styleId="954" w:customStyle="1">
    <w:name w:val="z-Конец формы Знак"/>
    <w:basedOn w:val="946"/>
    <w:link w:val="955"/>
    <w:uiPriority w:val="99"/>
    <w:semiHidden/>
    <w:rPr>
      <w:rFonts w:ascii="Arial" w:hAnsi="Arial" w:eastAsia="Times New Roman" w:cs="Arial"/>
      <w:vanish/>
      <w:sz w:val="16"/>
      <w:szCs w:val="16"/>
    </w:rPr>
  </w:style>
  <w:style w:type="paragraph" w:styleId="955">
    <w:name w:val="HTML Bottom of Form"/>
    <w:basedOn w:val="941"/>
    <w:next w:val="941"/>
    <w:link w:val="954"/>
    <w:hidden/>
    <w:uiPriority w:val="99"/>
    <w:semiHidden/>
    <w:unhideWhenUsed/>
    <w:pPr>
      <w:jc w:val="center"/>
      <w:pBdr>
        <w:top w:val="single" w:color="auto" w:sz="6" w:space="1"/>
      </w:pBdr>
    </w:pPr>
    <w:rPr>
      <w:rFonts w:ascii="Arial" w:hAnsi="Arial" w:eastAsia="Times New Roman" w:cs="Arial"/>
      <w:vanish/>
      <w:sz w:val="16"/>
      <w:szCs w:val="16"/>
    </w:rPr>
  </w:style>
  <w:style w:type="paragraph" w:styleId="956" w:customStyle="1">
    <w:name w:val="ConsNormal"/>
    <w:pPr>
      <w:ind w:right="19772" w:firstLine="720"/>
      <w:jc w:val="left"/>
      <w:widowControl w:val="off"/>
    </w:pPr>
    <w:rPr>
      <w:rFonts w:ascii="Arial" w:hAnsi="Arial" w:eastAsia="Times New Roman" w:cs="Arial"/>
      <w:sz w:val="20"/>
      <w:szCs w:val="20"/>
    </w:rPr>
  </w:style>
  <w:style w:type="character" w:styleId="957" w:customStyle="1">
    <w:name w:val="Заголовок 1 Знак"/>
    <w:basedOn w:val="946"/>
    <w:link w:val="942"/>
    <w:uiPriority w:val="9"/>
    <w:rPr>
      <w:rFonts w:asciiTheme="majorHAnsi" w:hAnsiTheme="majorHAnsi" w:eastAsiaTheme="majorEastAsia" w:cstheme="majorBidi"/>
      <w:b/>
      <w:bCs/>
      <w:color w:val="365f91" w:themeColor="accent1" w:themeShade="BF"/>
      <w:sz w:val="28"/>
      <w:szCs w:val="28"/>
    </w:rPr>
  </w:style>
  <w:style w:type="character" w:styleId="958" w:customStyle="1">
    <w:name w:val="Заголовок 2 Знак"/>
    <w:basedOn w:val="946"/>
    <w:link w:val="943"/>
    <w:uiPriority w:val="9"/>
    <w:semiHidden/>
    <w:rPr>
      <w:rFonts w:asciiTheme="majorHAnsi" w:hAnsiTheme="majorHAnsi" w:eastAsiaTheme="majorEastAsia" w:cstheme="majorBidi"/>
      <w:b/>
      <w:bCs/>
      <w:color w:val="4f81bd" w:themeColor="accent1"/>
      <w:sz w:val="26"/>
      <w:szCs w:val="26"/>
    </w:rPr>
  </w:style>
  <w:style w:type="character" w:styleId="959" w:customStyle="1">
    <w:name w:val="Заголовок 3 Знак"/>
    <w:basedOn w:val="946"/>
    <w:link w:val="944"/>
    <w:uiPriority w:val="9"/>
    <w:rPr>
      <w:rFonts w:asciiTheme="majorHAnsi" w:hAnsiTheme="majorHAnsi" w:eastAsiaTheme="majorEastAsia" w:cstheme="majorBidi"/>
      <w:b/>
      <w:bCs/>
      <w:color w:val="4f81bd" w:themeColor="accent1"/>
    </w:rPr>
  </w:style>
  <w:style w:type="paragraph" w:styleId="960" w:customStyle="1">
    <w:name w:val="Стиль3"/>
    <w:basedOn w:val="974"/>
  </w:style>
  <w:style w:type="paragraph" w:styleId="961">
    <w:name w:val="Body Text"/>
    <w:basedOn w:val="941"/>
    <w:link w:val="962"/>
    <w:pPr>
      <w:jc w:val="center"/>
      <w:tabs>
        <w:tab w:val="left" w:pos="0" w:leader="none"/>
      </w:tabs>
    </w:pPr>
    <w:rPr>
      <w:rFonts w:ascii="Times New Roman" w:hAnsi="Times New Roman" w:eastAsia="Times New Roman" w:cs="Times New Roman"/>
      <w:b/>
      <w:sz w:val="28"/>
      <w:szCs w:val="28"/>
    </w:rPr>
  </w:style>
  <w:style w:type="character" w:styleId="962" w:customStyle="1">
    <w:name w:val="Основной текст Знак"/>
    <w:basedOn w:val="946"/>
    <w:link w:val="961"/>
    <w:rPr>
      <w:rFonts w:ascii="Times New Roman" w:hAnsi="Times New Roman" w:eastAsia="Times New Roman" w:cs="Times New Roman"/>
      <w:b/>
      <w:sz w:val="28"/>
      <w:szCs w:val="28"/>
    </w:rPr>
  </w:style>
  <w:style w:type="paragraph" w:styleId="963" w:customStyle="1">
    <w:name w:val="Обычный1"/>
    <w:pPr>
      <w:jc w:val="left"/>
    </w:pPr>
    <w:rPr>
      <w:rFonts w:ascii="Times New Roman" w:hAnsi="Times New Roman" w:eastAsia="Times New Roman" w:cs="Times New Roman"/>
      <w:sz w:val="20"/>
      <w:szCs w:val="20"/>
    </w:rPr>
  </w:style>
  <w:style w:type="paragraph" w:styleId="964" w:customStyle="1">
    <w:name w:val="1KG=K9"/>
    <w:pPr>
      <w:jc w:val="left"/>
    </w:pPr>
    <w:rPr>
      <w:rFonts w:ascii="MS Sans Serif" w:hAnsi="MS Sans Serif" w:eastAsia="Times New Roman" w:cs="Times New Roman"/>
      <w:sz w:val="24"/>
      <w:szCs w:val="20"/>
    </w:rPr>
  </w:style>
  <w:style w:type="paragraph" w:styleId="965" w:customStyle="1">
    <w:name w:val="ConsPlusNormal"/>
    <w:pPr>
      <w:ind w:firstLine="720"/>
      <w:jc w:val="left"/>
      <w:widowControl w:val="off"/>
    </w:pPr>
    <w:rPr>
      <w:rFonts w:ascii="Arial" w:hAnsi="Arial" w:eastAsia="Times New Roman" w:cs="Arial"/>
      <w:sz w:val="20"/>
      <w:szCs w:val="20"/>
    </w:rPr>
  </w:style>
  <w:style w:type="paragraph" w:styleId="966" w:customStyle="1">
    <w:name w:val="ConsNonformat"/>
    <w:pPr>
      <w:ind w:right="19772"/>
      <w:jc w:val="left"/>
      <w:widowControl w:val="off"/>
    </w:pPr>
    <w:rPr>
      <w:rFonts w:ascii="Courier New" w:hAnsi="Courier New" w:eastAsia="Times New Roman" w:cs="Courier New"/>
      <w:sz w:val="20"/>
      <w:szCs w:val="20"/>
    </w:rPr>
  </w:style>
  <w:style w:type="paragraph" w:styleId="967" w:customStyle="1">
    <w:name w:val="Стиль2"/>
    <w:basedOn w:val="976"/>
    <w:pPr>
      <w:contextualSpacing w:val="0"/>
      <w:ind w:left="0" w:firstLine="0"/>
      <w:keepLines/>
      <w:keepNext/>
      <w:spacing w:after="60"/>
      <w:widowControl w:val="off"/>
      <w:tabs>
        <w:tab w:val="clear" w:pos="620" w:leader="none"/>
      </w:tabs>
      <w:suppressLineNumbers/>
    </w:pPr>
    <w:rPr>
      <w:rFonts w:ascii="Times New Roman" w:hAnsi="Times New Roman" w:eastAsia="Times New Roman" w:cs="Times New Roman"/>
      <w:b/>
      <w:sz w:val="24"/>
      <w:szCs w:val="20"/>
    </w:rPr>
  </w:style>
  <w:style w:type="paragraph" w:styleId="968">
    <w:name w:val="Body Text 2"/>
    <w:basedOn w:val="941"/>
    <w:link w:val="969"/>
    <w:semiHidden/>
    <w:pPr>
      <w:tabs>
        <w:tab w:val="num" w:pos="0" w:leader="none"/>
      </w:tabs>
    </w:pPr>
    <w:rPr>
      <w:rFonts w:ascii="Times New Roman" w:hAnsi="Times New Roman" w:eastAsia="Times New Roman" w:cs="Times New Roman"/>
      <w:sz w:val="28"/>
      <w:szCs w:val="24"/>
    </w:rPr>
  </w:style>
  <w:style w:type="character" w:styleId="969" w:customStyle="1">
    <w:name w:val="Основной текст 2 Знак"/>
    <w:basedOn w:val="946"/>
    <w:link w:val="968"/>
    <w:semiHidden/>
    <w:rPr>
      <w:rFonts w:ascii="Times New Roman" w:hAnsi="Times New Roman" w:eastAsia="Times New Roman" w:cs="Times New Roman"/>
      <w:sz w:val="28"/>
      <w:szCs w:val="24"/>
    </w:rPr>
  </w:style>
  <w:style w:type="paragraph" w:styleId="970" w:customStyle="1">
    <w:name w:val="Основной текст 31"/>
    <w:basedOn w:val="941"/>
    <w:rPr>
      <w:rFonts w:ascii="Times New Roman" w:hAnsi="Times New Roman" w:eastAsia="Times New Roman" w:cs="Times New Roman"/>
      <w:sz w:val="28"/>
      <w:szCs w:val="20"/>
    </w:rPr>
  </w:style>
  <w:style w:type="paragraph" w:styleId="971" w:customStyle="1">
    <w:name w:val="ConsPlusNonformat"/>
    <w:uiPriority w:val="99"/>
    <w:pPr>
      <w:numPr>
        <w:ilvl w:val="2"/>
        <w:numId w:val="1"/>
      </w:numPr>
      <w:ind w:left="0" w:firstLine="0"/>
      <w:jc w:val="left"/>
      <w:widowControl w:val="off"/>
      <w:tabs>
        <w:tab w:val="clear" w:pos="1020" w:leader="none"/>
      </w:tabs>
    </w:pPr>
    <w:rPr>
      <w:rFonts w:ascii="Courier New" w:hAnsi="Courier New" w:eastAsia="Times New Roman" w:cs="Courier New"/>
      <w:sz w:val="20"/>
      <w:szCs w:val="20"/>
    </w:rPr>
  </w:style>
  <w:style w:type="paragraph" w:styleId="972">
    <w:name w:val="Body Text 3"/>
    <w:basedOn w:val="941"/>
    <w:link w:val="973"/>
    <w:semiHidden/>
    <w:pPr>
      <w:jc w:val="center"/>
    </w:pPr>
    <w:rPr>
      <w:rFonts w:ascii="Times New Roman" w:hAnsi="Times New Roman" w:eastAsia="Times New Roman" w:cs="Times New Roman"/>
      <w:sz w:val="28"/>
      <w:szCs w:val="24"/>
    </w:rPr>
  </w:style>
  <w:style w:type="character" w:styleId="973" w:customStyle="1">
    <w:name w:val="Основной текст 3 Знак"/>
    <w:basedOn w:val="946"/>
    <w:link w:val="972"/>
    <w:semiHidden/>
    <w:rPr>
      <w:rFonts w:ascii="Times New Roman" w:hAnsi="Times New Roman" w:eastAsia="Times New Roman" w:cs="Times New Roman"/>
      <w:sz w:val="28"/>
      <w:szCs w:val="24"/>
    </w:rPr>
  </w:style>
  <w:style w:type="paragraph" w:styleId="974">
    <w:name w:val="Body Text Indent 2"/>
    <w:basedOn w:val="941"/>
    <w:link w:val="975"/>
    <w:uiPriority w:val="99"/>
    <w:semiHidden/>
    <w:unhideWhenUsed/>
    <w:pPr>
      <w:ind w:left="283"/>
      <w:spacing w:after="120" w:line="480" w:lineRule="auto"/>
    </w:pPr>
  </w:style>
  <w:style w:type="character" w:styleId="975" w:customStyle="1">
    <w:name w:val="Основной текст с отступом 2 Знак"/>
    <w:basedOn w:val="946"/>
    <w:link w:val="974"/>
    <w:uiPriority w:val="99"/>
    <w:semiHidden/>
  </w:style>
  <w:style w:type="paragraph" w:styleId="976">
    <w:name w:val="List Number 2"/>
    <w:basedOn w:val="941"/>
    <w:uiPriority w:val="99"/>
    <w:semiHidden/>
    <w:unhideWhenUsed/>
    <w:pPr>
      <w:contextualSpacing/>
      <w:ind w:left="620" w:hanging="620"/>
      <w:tabs>
        <w:tab w:val="num" w:pos="620" w:leader="none"/>
      </w:tabs>
    </w:pPr>
  </w:style>
  <w:style w:type="paragraph" w:styleId="977">
    <w:name w:val="Header"/>
    <w:basedOn w:val="941"/>
    <w:link w:val="978"/>
    <w:uiPriority w:val="99"/>
    <w:unhideWhenUsed/>
    <w:pPr>
      <w:tabs>
        <w:tab w:val="center" w:pos="4677" w:leader="none"/>
        <w:tab w:val="right" w:pos="9355" w:leader="none"/>
      </w:tabs>
    </w:pPr>
  </w:style>
  <w:style w:type="character" w:styleId="978" w:customStyle="1">
    <w:name w:val="Верхний колонтитул Знак"/>
    <w:basedOn w:val="946"/>
    <w:link w:val="977"/>
    <w:uiPriority w:val="99"/>
  </w:style>
  <w:style w:type="paragraph" w:styleId="979">
    <w:name w:val="Footer"/>
    <w:basedOn w:val="941"/>
    <w:link w:val="980"/>
    <w:uiPriority w:val="99"/>
    <w:unhideWhenUsed/>
    <w:pPr>
      <w:tabs>
        <w:tab w:val="center" w:pos="4677" w:leader="none"/>
        <w:tab w:val="right" w:pos="9355" w:leader="none"/>
      </w:tabs>
    </w:pPr>
  </w:style>
  <w:style w:type="character" w:styleId="980" w:customStyle="1">
    <w:name w:val="Нижний колонтитул Знак"/>
    <w:basedOn w:val="946"/>
    <w:link w:val="979"/>
    <w:uiPriority w:val="99"/>
  </w:style>
  <w:style w:type="paragraph" w:styleId="981">
    <w:name w:val="List Paragraph"/>
    <w:basedOn w:val="941"/>
    <w:uiPriority w:val="34"/>
    <w:qFormat/>
    <w:pPr>
      <w:contextualSpacing/>
      <w:ind w:left="720"/>
      <w:jc w:val="left"/>
      <w:spacing w:after="200" w:line="276" w:lineRule="auto"/>
    </w:pPr>
  </w:style>
  <w:style w:type="paragraph" w:styleId="982" w:customStyle="1">
    <w:name w:val="Знак Знак2 Char Char Знак Знак Char Char Знак Знак Char Char Знак Знак Char Char Знак Знак Char Char Знак Знак Char Char Знак Знак Char Char Знак Знак Char Char"/>
    <w:basedOn w:val="941"/>
    <w:pPr>
      <w:jc w:val="left"/>
      <w:spacing w:before="100" w:beforeAutospacing="1" w:after="100" w:afterAutospacing="1"/>
    </w:pPr>
    <w:rPr>
      <w:rFonts w:ascii="Tahoma" w:hAnsi="Tahoma" w:eastAsia="Times New Roman" w:cs="Times New Roman"/>
      <w:sz w:val="20"/>
      <w:szCs w:val="20"/>
      <w:lang w:val="en-US" w:eastAsia="en-US"/>
    </w:rPr>
  </w:style>
  <w:style w:type="character" w:styleId="983">
    <w:name w:val="Hyperlink"/>
    <w:basedOn w:val="946"/>
    <w:uiPriority w:val="99"/>
    <w:unhideWhenUsed/>
    <w:rPr>
      <w:color w:val="0000ff" w:themeColor="hyperlink"/>
      <w:u w:val="single"/>
    </w:rPr>
  </w:style>
  <w:style w:type="paragraph" w:styleId="984">
    <w:name w:val="Balloon Text"/>
    <w:basedOn w:val="941"/>
    <w:link w:val="985"/>
    <w:uiPriority w:val="99"/>
    <w:semiHidden/>
    <w:unhideWhenUsed/>
    <w:rPr>
      <w:rFonts w:ascii="Segoe UI" w:hAnsi="Segoe UI" w:cs="Segoe UI"/>
      <w:sz w:val="18"/>
      <w:szCs w:val="18"/>
    </w:rPr>
  </w:style>
  <w:style w:type="character" w:styleId="985" w:customStyle="1">
    <w:name w:val="Текст выноски Знак"/>
    <w:basedOn w:val="946"/>
    <w:link w:val="984"/>
    <w:uiPriority w:val="99"/>
    <w:semiHidden/>
    <w:rPr>
      <w:rFonts w:ascii="Segoe UI" w:hAnsi="Segoe UI" w:cs="Segoe UI"/>
      <w:sz w:val="18"/>
      <w:szCs w:val="18"/>
    </w:rPr>
  </w:style>
  <w:style w:type="paragraph" w:styleId="986">
    <w:name w:val="footnote text"/>
    <w:basedOn w:val="941"/>
    <w:link w:val="987"/>
    <w:uiPriority w:val="99"/>
    <w:semiHidden/>
    <w:unhideWhenUsed/>
    <w:rPr>
      <w:sz w:val="20"/>
      <w:szCs w:val="20"/>
    </w:rPr>
  </w:style>
  <w:style w:type="character" w:styleId="987" w:customStyle="1">
    <w:name w:val="Текст сноски Знак"/>
    <w:basedOn w:val="946"/>
    <w:link w:val="986"/>
    <w:uiPriority w:val="99"/>
    <w:semiHidden/>
    <w:rPr>
      <w:sz w:val="20"/>
      <w:szCs w:val="20"/>
    </w:rPr>
  </w:style>
  <w:style w:type="character" w:styleId="988">
    <w:name w:val="footnote reference"/>
    <w:basedOn w:val="946"/>
    <w:uiPriority w:val="99"/>
    <w:semiHidden/>
    <w:unhideWhenUsed/>
    <w:rPr>
      <w:vertAlign w:val="superscript"/>
    </w:rPr>
  </w:style>
  <w:style w:type="paragraph" w:styleId="989" w:customStyle="1">
    <w:name w:val="ConsPlusTitle"/>
    <w:pPr>
      <w:jc w:val="left"/>
    </w:pPr>
    <w:rPr>
      <w:rFonts w:ascii="Times New Roman" w:hAnsi="Times New Roman" w:eastAsia="Times New Roman" w:cs="Times New Roman"/>
      <w:b/>
      <w:bCs/>
      <w:sz w:val="24"/>
      <w:szCs w:val="24"/>
    </w:rPr>
  </w:style>
  <w:style w:type="paragraph" w:styleId="990" w:customStyle="1">
    <w:name w:val="Default"/>
    <w:pPr>
      <w:jc w:val="left"/>
    </w:pPr>
    <w:rPr>
      <w:rFonts w:ascii="Times New Roman" w:hAnsi="Times New Roman" w:eastAsia="Times New Roman" w:cs="Times New Roman"/>
      <w:color w:val="000000"/>
      <w:sz w:val="24"/>
      <w:szCs w:val="24"/>
    </w:rPr>
  </w:style>
  <w:style w:type="table" w:styleId="991">
    <w:name w:val="Table Grid"/>
    <w:basedOn w:val="947"/>
    <w:uiPriority w:val="39"/>
    <w:pPr>
      <w:jc w:val="left"/>
    </w:pPr>
    <w:tblP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left w:w="108" w:type="dxa"/>
        <w:top w:w="0" w:type="dxa"/>
        <w:right w:w="108" w:type="dxa"/>
        <w:bottom w:w="0" w:type="dxa"/>
      </w:tblCellMar>
    </w:tblPr>
  </w:style>
  <w:style w:type="paragraph" w:styleId="992" w:customStyle="1">
    <w:name w:val="ConsPlusCell"/>
    <w:uiPriority w:val="99"/>
    <w:pPr>
      <w:jc w:val="left"/>
      <w:widowControl w:val="off"/>
    </w:pPr>
    <w:rPr>
      <w:rFonts w:ascii="Courier New" w:hAnsi="Courier New" w:eastAsia="Times New Roman" w:cs="Courier New"/>
      <w:sz w:val="20"/>
      <w:szCs w:val="20"/>
    </w:rPr>
  </w:style>
  <w:style w:type="character" w:styleId="993" w:customStyle="1">
    <w:name w:val="Сноска_"/>
    <w:basedOn w:val="946"/>
    <w:link w:val="1001"/>
    <w:rPr>
      <w:rFonts w:ascii="Times New Roman" w:hAnsi="Times New Roman" w:eastAsia="Times New Roman" w:cs="Times New Roman"/>
      <w:b/>
      <w:bCs/>
      <w:shd w:val="clear" w:color="auto" w:fill="ffffff"/>
    </w:rPr>
  </w:style>
  <w:style w:type="character" w:styleId="994" w:customStyle="1">
    <w:name w:val="Основной текст (2)_"/>
    <w:basedOn w:val="946"/>
    <w:link w:val="1003"/>
    <w:rPr>
      <w:rFonts w:ascii="Times New Roman" w:hAnsi="Times New Roman" w:eastAsia="Times New Roman" w:cs="Times New Roman"/>
      <w:b/>
      <w:bCs/>
      <w:sz w:val="26"/>
      <w:szCs w:val="26"/>
      <w:shd w:val="clear" w:color="auto" w:fill="ffffff"/>
    </w:rPr>
  </w:style>
  <w:style w:type="character" w:styleId="995" w:customStyle="1">
    <w:name w:val="Основной текст_"/>
    <w:basedOn w:val="946"/>
    <w:link w:val="1002"/>
    <w:rPr>
      <w:rFonts w:ascii="Times New Roman" w:hAnsi="Times New Roman" w:eastAsia="Times New Roman" w:cs="Times New Roman"/>
      <w:sz w:val="26"/>
      <w:szCs w:val="26"/>
      <w:shd w:val="clear" w:color="auto" w:fill="ffffff"/>
    </w:rPr>
  </w:style>
  <w:style w:type="character" w:styleId="996" w:customStyle="1">
    <w:name w:val="Колонтитул_"/>
    <w:basedOn w:val="946"/>
    <w:rPr>
      <w:rFonts w:ascii="Times New Roman" w:hAnsi="Times New Roman" w:eastAsia="Times New Roman" w:cs="Times New Roman"/>
      <w:b w:val="0"/>
      <w:bCs w:val="0"/>
      <w:i w:val="0"/>
      <w:iCs w:val="0"/>
      <w:smallCaps w:val="0"/>
      <w:strike w:val="0"/>
      <w:spacing w:val="10"/>
      <w:u w:val="none"/>
    </w:rPr>
  </w:style>
  <w:style w:type="character" w:styleId="997" w:customStyle="1">
    <w:name w:val="Колонтитул"/>
    <w:basedOn w:val="996"/>
    <w:rPr>
      <w:rFonts w:ascii="Times New Roman" w:hAnsi="Times New Roman" w:eastAsia="Times New Roman" w:cs="Times New Roman"/>
      <w:b w:val="0"/>
      <w:bCs w:val="0"/>
      <w:i w:val="0"/>
      <w:iCs w:val="0"/>
      <w:smallCaps w:val="0"/>
      <w:strike w:val="0"/>
      <w:color w:val="000000"/>
      <w:spacing w:val="10"/>
      <w:position w:val="0"/>
      <w:sz w:val="24"/>
      <w:szCs w:val="24"/>
      <w:u w:val="none"/>
      <w:lang w:val="ru-RU" w:eastAsia="ru-RU" w:bidi="ru-RU"/>
    </w:rPr>
  </w:style>
  <w:style w:type="character" w:styleId="998" w:customStyle="1">
    <w:name w:val="Основной текст1"/>
    <w:basedOn w:val="995"/>
    <w:rPr>
      <w:rFonts w:ascii="Times New Roman" w:hAnsi="Times New Roman" w:eastAsia="Times New Roman" w:cs="Times New Roman"/>
      <w:color w:val="000000"/>
      <w:spacing w:val="0"/>
      <w:position w:val="0"/>
      <w:sz w:val="26"/>
      <w:szCs w:val="26"/>
      <w:shd w:val="clear" w:color="auto" w:fill="ffffff"/>
      <w:lang w:val="ru-RU" w:eastAsia="ru-RU" w:bidi="ru-RU"/>
    </w:rPr>
  </w:style>
  <w:style w:type="character" w:styleId="999" w:customStyle="1">
    <w:name w:val="Основной текст (5)_"/>
    <w:basedOn w:val="946"/>
    <w:link w:val="1004"/>
    <w:rPr>
      <w:rFonts w:ascii="Times New Roman" w:hAnsi="Times New Roman" w:eastAsia="Times New Roman" w:cs="Times New Roman"/>
      <w:b/>
      <w:bCs/>
      <w:sz w:val="17"/>
      <w:szCs w:val="17"/>
      <w:shd w:val="clear" w:color="auto" w:fill="ffffff"/>
    </w:rPr>
  </w:style>
  <w:style w:type="character" w:styleId="1000" w:customStyle="1">
    <w:name w:val="Основной текст (6)_"/>
    <w:basedOn w:val="946"/>
    <w:link w:val="1005"/>
    <w:rPr>
      <w:rFonts w:ascii="Times New Roman" w:hAnsi="Times New Roman" w:eastAsia="Times New Roman" w:cs="Times New Roman"/>
      <w:b/>
      <w:bCs/>
      <w:shd w:val="clear" w:color="auto" w:fill="ffffff"/>
    </w:rPr>
  </w:style>
  <w:style w:type="paragraph" w:styleId="1001" w:customStyle="1">
    <w:name w:val="Сноска"/>
    <w:basedOn w:val="941"/>
    <w:link w:val="993"/>
    <w:pPr>
      <w:spacing w:line="272" w:lineRule="exact"/>
      <w:shd w:val="clear" w:color="auto" w:fill="ffffff"/>
      <w:widowControl w:val="off"/>
    </w:pPr>
    <w:rPr>
      <w:rFonts w:ascii="Times New Roman" w:hAnsi="Times New Roman" w:eastAsia="Times New Roman" w:cs="Times New Roman"/>
      <w:b/>
      <w:bCs/>
    </w:rPr>
  </w:style>
  <w:style w:type="paragraph" w:styleId="1002" w:customStyle="1">
    <w:name w:val="Основной текст2"/>
    <w:basedOn w:val="941"/>
    <w:link w:val="995"/>
    <w:pPr>
      <w:ind w:hanging="1120"/>
      <w:spacing w:before="660" w:line="354" w:lineRule="exact"/>
      <w:shd w:val="clear" w:color="auto" w:fill="ffffff"/>
      <w:widowControl w:val="off"/>
    </w:pPr>
    <w:rPr>
      <w:rFonts w:ascii="Times New Roman" w:hAnsi="Times New Roman" w:eastAsia="Times New Roman" w:cs="Times New Roman"/>
      <w:sz w:val="26"/>
      <w:szCs w:val="26"/>
    </w:rPr>
  </w:style>
  <w:style w:type="paragraph" w:styleId="1003" w:customStyle="1">
    <w:name w:val="Основной текст (2)"/>
    <w:basedOn w:val="941"/>
    <w:link w:val="994"/>
    <w:pPr>
      <w:jc w:val="center"/>
      <w:spacing w:after="660" w:line="315" w:lineRule="exact"/>
      <w:shd w:val="clear" w:color="auto" w:fill="ffffff"/>
      <w:widowControl w:val="off"/>
    </w:pPr>
    <w:rPr>
      <w:rFonts w:ascii="Times New Roman" w:hAnsi="Times New Roman" w:eastAsia="Times New Roman" w:cs="Times New Roman"/>
      <w:b/>
      <w:bCs/>
      <w:sz w:val="26"/>
      <w:szCs w:val="26"/>
    </w:rPr>
  </w:style>
  <w:style w:type="paragraph" w:styleId="1004" w:customStyle="1">
    <w:name w:val="Основной текст (5)"/>
    <w:basedOn w:val="941"/>
    <w:link w:val="999"/>
    <w:pPr>
      <w:jc w:val="left"/>
      <w:spacing w:before="60" w:after="420" w:line="0" w:lineRule="atLeast"/>
      <w:shd w:val="clear" w:color="auto" w:fill="ffffff"/>
      <w:widowControl w:val="off"/>
    </w:pPr>
    <w:rPr>
      <w:rFonts w:ascii="Times New Roman" w:hAnsi="Times New Roman" w:eastAsia="Times New Roman" w:cs="Times New Roman"/>
      <w:b/>
      <w:bCs/>
      <w:sz w:val="17"/>
      <w:szCs w:val="17"/>
    </w:rPr>
  </w:style>
  <w:style w:type="paragraph" w:styleId="1005" w:customStyle="1">
    <w:name w:val="Основной текст (6)"/>
    <w:basedOn w:val="941"/>
    <w:link w:val="1000"/>
    <w:pPr>
      <w:spacing w:line="272" w:lineRule="exact"/>
      <w:shd w:val="clear" w:color="auto" w:fill="ffffff"/>
      <w:widowControl w:val="off"/>
    </w:pPr>
    <w:rPr>
      <w:rFonts w:ascii="Times New Roman" w:hAnsi="Times New Roman" w:eastAsia="Times New Roman" w:cs="Times New Roman"/>
      <w:b/>
      <w:bCs/>
    </w:rPr>
  </w:style>
  <w:style w:type="character" w:styleId="1006" w:customStyle="1">
    <w:name w:val="Подпись к картинке_"/>
    <w:basedOn w:val="946"/>
    <w:link w:val="1007"/>
    <w:rPr>
      <w:rFonts w:ascii="Times New Roman" w:hAnsi="Times New Roman" w:eastAsia="Times New Roman" w:cs="Times New Roman"/>
      <w:sz w:val="26"/>
      <w:szCs w:val="26"/>
      <w:shd w:val="clear" w:color="auto" w:fill="ffffff"/>
    </w:rPr>
  </w:style>
  <w:style w:type="paragraph" w:styleId="1007" w:customStyle="1">
    <w:name w:val="Подпись к картинке"/>
    <w:basedOn w:val="941"/>
    <w:link w:val="1006"/>
    <w:pPr>
      <w:spacing w:after="60" w:line="0" w:lineRule="atLeast"/>
      <w:shd w:val="clear" w:color="auto" w:fill="ffffff"/>
      <w:widowControl w:val="off"/>
    </w:pPr>
    <w:rPr>
      <w:rFonts w:ascii="Times New Roman" w:hAnsi="Times New Roman" w:eastAsia="Times New Roman" w:cs="Times New Roman"/>
      <w:sz w:val="26"/>
      <w:szCs w:val="26"/>
    </w:rPr>
  </w:style>
  <w:style w:type="numbering" w:styleId="1008" w:customStyle="1">
    <w:name w:val="Нет списка1"/>
    <w:next w:val="948"/>
    <w:uiPriority w:val="99"/>
    <w:semiHidden/>
    <w:unhideWhenUsed/>
  </w:style>
  <w:style w:type="numbering" w:styleId="1009" w:customStyle="1">
    <w:name w:val="Нет списка11"/>
    <w:next w:val="948"/>
    <w:uiPriority w:val="99"/>
    <w:semiHidden/>
    <w:unhideWhenUsed/>
  </w:style>
  <w:style w:type="character" w:styleId="1010" w:customStyle="1">
    <w:name w:val="Стандартный HTML Знак1"/>
    <w:basedOn w:val="946"/>
    <w:uiPriority w:val="99"/>
    <w:semiHidden/>
    <w:rPr>
      <w:rFonts w:ascii="Consolas" w:hAnsi="Consolas" w:cs="Consolas"/>
      <w:sz w:val="20"/>
      <w:szCs w:val="20"/>
    </w:rPr>
  </w:style>
  <w:style w:type="character" w:styleId="1011" w:customStyle="1">
    <w:name w:val="z-Начало формы Знак1"/>
    <w:basedOn w:val="946"/>
    <w:uiPriority w:val="99"/>
    <w:semiHidden/>
    <w:rPr>
      <w:rFonts w:ascii="Arial" w:hAnsi="Arial" w:cs="Arial"/>
      <w:vanish/>
      <w:sz w:val="16"/>
      <w:szCs w:val="16"/>
    </w:rPr>
  </w:style>
  <w:style w:type="character" w:styleId="1012" w:customStyle="1">
    <w:name w:val="z-Конец формы Знак1"/>
    <w:basedOn w:val="946"/>
    <w:uiPriority w:val="99"/>
    <w:semiHidden/>
    <w:rPr>
      <w:rFonts w:ascii="Arial" w:hAnsi="Arial" w:cs="Arial"/>
      <w:vanish/>
      <w:sz w:val="16"/>
      <w:szCs w:val="16"/>
    </w:rPr>
  </w:style>
  <w:style w:type="character" w:styleId="1013" w:customStyle="1">
    <w:name w:val="Font Style12"/>
    <w:uiPriority w:val="99"/>
    <w:rPr>
      <w:rFonts w:ascii="Times New Roman" w:hAnsi="Times New Roman" w:cs="Times New Roman"/>
      <w:sz w:val="26"/>
      <w:szCs w:val="26"/>
    </w:rPr>
  </w:style>
</w:styles>
</file>

<file path=word/webSettings.xml><?xml version="1.0" encoding="utf-8"?>
<w:webSetting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webSettings" Target="webSettings.xml" /><Relationship Id="rId4" Type="http://schemas.openxmlformats.org/officeDocument/2006/relationships/fontTable" Target="fontTable.xml" /><Relationship Id="rId5" Type="http://schemas.openxmlformats.org/officeDocument/2006/relationships/theme" Target="theme/theme1.xml" /><Relationship Id="rId6" Type="http://schemas.openxmlformats.org/officeDocument/2006/relationships/numbering" Target="numbering.xml" /><Relationship Id="rId7" Type="http://schemas.openxmlformats.org/officeDocument/2006/relationships/footnotes" Target="footnotes.xml" /><Relationship Id="rId8" Type="http://schemas.openxmlformats.org/officeDocument/2006/relationships/endnotes" Target="endnotes.xml" /><Relationship Id="rId9" Type="http://schemas.openxmlformats.org/officeDocument/2006/relationships/header" Target="header1.xml" /><Relationship Id="rId10" Type="http://schemas.openxmlformats.org/officeDocument/2006/relationships/header" Target="header2.xml" /><Relationship Id="rId11" Type="http://schemas.openxmlformats.org/officeDocument/2006/relationships/header" Target="header3.xml" /><Relationship Id="rId12" Type="http://schemas.openxmlformats.org/officeDocument/2006/relationships/customXml" Target="../customXml/item1.xml" /><Relationship Id="rId13" Type="http://schemas.openxmlformats.org/officeDocument/2006/relationships/hyperlink" Target="javascript:viewd(2764,41);" TargetMode="External"/><Relationship Id="rId14" Type="http://schemas.openxmlformats.org/officeDocument/2006/relationships/hyperlink" Target="javascript:viewd(5983,53);" TargetMode="External"/><Relationship Id="rId15" Type="http://schemas.openxmlformats.org/officeDocument/2006/relationships/hyperlink" Target="javascript:viewd(6127,53);" TargetMode="External"/><Relationship Id="rId16" Type="http://schemas.openxmlformats.org/officeDocument/2006/relationships/hyperlink" Target="consultantplus://offline/ref=1F0BBD39352E8C5FB8A9897FEFED1EA0A86F7E79983F4FF082C6432FC04F4082BDAD6213B0E0CC40E716AAC189C1K9G" TargetMode="External"/><Relationship Id="rId17" Type="http://schemas.openxmlformats.org/officeDocument/2006/relationships/hyperlink" Target="http://www.torgi.gov.ru" TargetMode="External"/><Relationship Id="rId18" Type="http://schemas.openxmlformats.org/officeDocument/2006/relationships/hyperlink" Target="https://lot-online.ru" TargetMode="External"/><Relationship Id="rId19" Type="http://schemas.openxmlformats.org/officeDocument/2006/relationships/hyperlink" Target="http://www.fish.gov.ru" TargetMode="External"/><Relationship Id="rId20" Type="http://schemas.openxmlformats.org/officeDocument/2006/relationships/hyperlink" Target="consultantplus://offline/ref=1F0BBD39352E8C5FB8A9897FEFED1EA0A86F78719E3C4FF082C6432FC04F4082BDAD6213B0E0CC40E716AAC189C1K9G" TargetMode="External"/><Relationship Id="rId21" Type="http://schemas.openxmlformats.org/officeDocument/2006/relationships/hyperlink" Target="consultantplus://offline/ref=1F0BBD39352E8C5FB8A9897FEFED1EA0A86E7A71983C4FF082C6432FC04F4082BDAD6213B0E0CC40E716AAC189C1K9G" TargetMode="External"/><Relationship Id="rId22" Type="http://schemas.openxmlformats.org/officeDocument/2006/relationships/hyperlink" Target="https://login.consultant.ru/link/?req=doc&amp;base=LAW&amp;n=482692" TargetMode="External"/><Relationship Id="rId23" Type="http://schemas.openxmlformats.org/officeDocument/2006/relationships/hyperlink" Target="consultantplus://offline/ref=1F0BBD39352E8C5FB8A9897FEFED1EA0A86E7A71983C4FF082C6432FC04F4082AFAD3A1FB8E6D914BE4CFDCC8A1FC7268E750FA8BECCK3G" TargetMode="External"/><Relationship Id="rId24" Type="http://schemas.openxmlformats.org/officeDocument/2006/relationships/hyperlink" Target="consultantplus://offline/ref=509D761345FBAC814C2DBCBA4884EE2EC8368B141A3BB3449C04641336C865020726F204CC20042E3C1A53597A698CF635A3C12B3168HCJ0G" TargetMode="External"/><Relationship Id="rId25" Type="http://schemas.openxmlformats.org/officeDocument/2006/relationships/hyperlink" Target="consultantplus://offline/ref=509D761345FBAC814C2DBCBA4884EE2EC3308B1B136FE446CD516A163E982D125B63A709CE221F256B55150C76H6J2G" TargetMode="External"/><Relationship Id="rId26" Type="http://schemas.openxmlformats.org/officeDocument/2006/relationships/hyperlink" Target="consultantplus://offline/ref=509D761345FBAC814C2DBCBA4884EE2EC3308A11146DE446CD516A163E982D124963FF05CC2205226E40435D333E81EA35BEDF2A2F6BC963H4JBG" TargetMode="External"/></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_rels/header1.xml.rels><?xml version="1.0" encoding="UTF-8" standalone="yes"?><Relationships xmlns="http://schemas.openxmlformats.org/package/2006/relationships"></Relationships>
</file>

<file path=word/_rels/header2.xml.rels><?xml version="1.0" encoding="UTF-8" standalone="yes"?><Relationships xmlns="http://schemas.openxmlformats.org/package/2006/relationships"></Relationships>
</file>

<file path=word/_rels/header3.xml.rels><?xml version="1.0" encoding="UTF-8" standalone="yes"?><Relationships xmlns="http://schemas.openxmlformats.org/package/2006/relationships"></Relationships>
</file>

<file path=word/theme/theme1.xml><?xml version="1.0" encoding="utf-8"?>
<a:theme xmlns:a="http://schemas.openxmlformats.org/drawingml/2006/main" xmlns:r="http://schemas.openxmlformats.org/officeDocument/2006/relationships" xmlns:p="http://schemas.openxmlformats.org/presentation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Elements>
  <a:objectDefaults/>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D499F18-C94E-48FB-BE02-33690F267C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Application>Р7-Офис/7.3.3.0</Application>
  <Company>gkr</Company>
  <DocSecurity>0</DocSecurity>
  <HyperlinksChanged>false</HyperlinksChanged>
  <LinksUpToDate>false</LinksUpToDate>
  <ScaleCrop>false</ScaleCrop>
  <SharedDoc>false</SharedDoc>
  <Template>Normal</Template>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vengranovskiy</dc:creator>
  <cp:revision>36</cp:revision>
  <dcterms:created xsi:type="dcterms:W3CDTF">2023-11-16T08:14:00Z</dcterms:created>
  <dcterms:modified xsi:type="dcterms:W3CDTF">2025-04-30T08:56:46Z</dcterms:modified>
</cp:coreProperties>
</file>