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12</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none"/>
        </w:rPr>
        <w:t xml:space="preserve">559</w:t>
      </w:r>
      <w:r>
        <w:rPr>
          <w:rFonts w:ascii="Times New Roman" w:hAnsi="Times New Roman" w:eastAsia="Times New Roman" w:cs="Times New Roman"/>
          <w:color w:val="000000"/>
          <w:sz w:val="28"/>
          <w:szCs w:val="28"/>
          <w:highlight w:val="yellow"/>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6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w:t>
        <w:br/>
        <w:t xml:space="preserve">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b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6</w:t>
            </w:r>
            <w:r/>
          </w:p>
        </w:tc>
        <w:tc>
          <w:tcPr>
            <w:tcW w:w="1559"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b/>
                <w:bCs/>
                <w:sz w:val="24"/>
                <w:szCs w:val="24"/>
              </w:rPr>
              <w:t xml:space="preserve">Корбикула</w:t>
            </w:r>
            <w:r>
              <w:rPr>
                <w:rFonts w:ascii="Times New Roman" w:hAnsi="Times New Roman" w:cs="Times New Roman"/>
                <w:b/>
                <w:bCs/>
                <w:sz w:val="24"/>
                <w:szCs w:val="24"/>
              </w:rPr>
            </w:r>
            <w:r/>
          </w:p>
        </w:tc>
        <w:tc>
          <w:tcPr>
            <w:tcW w:w="2125"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sz w:val="24"/>
                <w:szCs w:val="24"/>
              </w:rPr>
              <w:t xml:space="preserve">З</w:t>
            </w:r>
            <w:r>
              <w:rPr>
                <w:rFonts w:ascii="Times New Roman" w:hAnsi="Times New Roman" w:cs="Times New Roman"/>
                <w:sz w:val="24"/>
                <w:szCs w:val="24"/>
              </w:rPr>
              <w:t xml:space="preserve">ападно-Сахалинская подзона</w:t>
            </w:r>
            <w:r>
              <w:rPr>
                <w:rFonts w:ascii="Times New Roman" w:hAnsi="Times New Roman" w:cs="Times New Roman"/>
                <w:sz w:val="24"/>
                <w:szCs w:val="24"/>
              </w:rPr>
            </w:r>
            <w:r/>
          </w:p>
        </w:tc>
        <w:tc>
          <w:tcPr>
            <w:tcW w:w="1134" w:type="dxa"/>
            <w:vAlign w:val="center"/>
            <w:textDirection w:val="lrTb"/>
            <w:noWrap w:val="false"/>
          </w:tcPr>
          <w:p>
            <w:pPr>
              <w:jc w:val="center"/>
              <w:spacing w:after="0" w:afterAutospacing="0" w:line="240" w:lineRule="auto"/>
              <w:rPr>
                <w:rFonts w:ascii="Times New Roman" w:hAnsi="Times New Roman" w:cs="Times New Roman"/>
                <w:highlight w:val="none"/>
              </w:rPr>
            </w:pPr>
            <w:r>
              <w:rPr>
                <w:rFonts w:ascii="Times New Roman" w:hAnsi="Times New Roman" w:cs="Times New Roman"/>
                <w:b/>
                <w:bCs/>
                <w:sz w:val="24"/>
                <w:szCs w:val="24"/>
              </w:rPr>
              <w:t xml:space="preserve">5,471</w:t>
            </w:r>
            <w:r>
              <w:rPr>
                <w:rFonts w:ascii="Times New Roman" w:hAnsi="Times New Roman" w:cs="Times New Roman"/>
                <w:b/>
                <w:bCs/>
                <w:sz w:val="24"/>
                <w:szCs w:val="24"/>
                <w:highlight w:val="none"/>
              </w:rPr>
            </w: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5 594 832</w:t>
            </w:r>
            <w:r>
              <w:rPr>
                <w:rFonts w:ascii="Times New Roman" w:hAnsi="Times New Roman" w:cs="Times New Roman"/>
                <w:sz w:val="24"/>
                <w:szCs w:val="24"/>
              </w:rPr>
            </w: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279 741,60</w:t>
            </w:r>
            <w:r>
              <w:rPr>
                <w:rFonts w:ascii="Times New Roman" w:hAnsi="Times New Roman" w:cs="Times New Roman"/>
                <w:sz w:val="24"/>
                <w:szCs w:val="24"/>
              </w:rPr>
            </w: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2 797 416</w:t>
            </w:r>
            <w:r>
              <w:rPr>
                <w:rFonts w:ascii="Times New Roman" w:hAnsi="Times New Roman" w:cs="Times New Roman"/>
                <w:sz w:val="24"/>
                <w:szCs w:val="24"/>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w:t>
      </w:r>
      <w:r>
        <w:rPr>
          <w:rFonts w:ascii="Times New Roman" w:hAnsi="Times New Roman" w:eastAsia="Times New Roman" w:cs="Times New Roman"/>
          <w:sz w:val="28"/>
          <w:szCs w:val="28"/>
          <w:highlight w:val="white"/>
        </w:rPr>
        <w:t xml:space="preserve">ешения о проведении аукциона: приказ Федерального агентства по рыболовству от «17</w:t>
      </w:r>
      <w:r>
        <w:rPr>
          <w:rFonts w:ascii="Times New Roman" w:hAnsi="Times New Roman" w:eastAsia="Times New Roman" w:cs="Times New Roman"/>
          <w:sz w:val="28"/>
          <w:szCs w:val="28"/>
          <w:highlight w:val="white"/>
        </w:rPr>
        <w:t xml:space="preserve">» сентября 2025 г. № 559.</w:t>
      </w:r>
      <w:r>
        <w:rPr>
          <w:highlight w:val="white"/>
        </w:rPr>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16"/>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Законом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6</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t xml:space="preserve">» октября</w:t>
            </w:r>
            <w:r>
              <w:rPr>
                <w:rFonts w:ascii="Times New Roman" w:hAnsi="Times New Roman" w:eastAsia="Times New Roman" w:cs="Times New Roman"/>
                <w:color w:val="000000"/>
                <w:sz w:val="28"/>
                <w:szCs w:val="28"/>
              </w:rPr>
              <w:t xml:space="preserve">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sz w:val="28"/>
          <w:szCs w:val="28"/>
        </w:rPr>
        <w:t xml:space="preserve">ва и (или) прибрежного рыболовства</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корбикулы в Западно-Сахалинской подзоне в р</w:t>
      </w:r>
      <w:r>
        <w:rPr>
          <w:rFonts w:ascii="Times New Roman" w:hAnsi="Times New Roman" w:eastAsia="Times New Roman" w:cs="Times New Roman"/>
          <w:b/>
          <w:bCs/>
          <w:color w:val="auto"/>
        </w:rPr>
        <w:t xml:space="preserve">азмере 5,471%</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47</cp:revision>
  <dcterms:created xsi:type="dcterms:W3CDTF">2023-11-16T08:14:00Z</dcterms:created>
  <dcterms:modified xsi:type="dcterms:W3CDTF">2025-09-17T13:52:06Z</dcterms:modified>
</cp:coreProperties>
</file>