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7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w:t>
        <w:br/>
        <w:t xml:space="preserve">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7</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Спизула</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pPr>
            <w:r>
              <w:rPr>
                <w:rFonts w:ascii="Times New Roman" w:hAnsi="Times New Roman" w:cs="Times New Roman"/>
                <w:sz w:val="24"/>
                <w:szCs w:val="24"/>
                <w:highlight w:val="none"/>
              </w:rPr>
            </w:r>
            <w:r/>
          </w:p>
          <w:p>
            <w:pPr>
              <w:jc w:val="center"/>
              <w:spacing w:after="0" w:afterAutospacing="0" w:line="240" w:lineRule="auto"/>
            </w:pPr>
            <w:r>
              <w:rPr>
                <w:rFonts w:ascii="Times New Roman" w:hAnsi="Times New Roman" w:cs="Times New Roman"/>
                <w:sz w:val="24"/>
                <w:szCs w:val="24"/>
              </w:rPr>
              <w:t xml:space="preserve">Подзона Приморье</w:t>
            </w:r>
            <w:r/>
          </w:p>
          <w:p>
            <w:pPr>
              <w:jc w:val="center"/>
              <w:spacing w:after="0" w:afterAutospacing="0" w:line="240" w:lineRule="auto"/>
              <w:rPr>
                <w:rFonts w:ascii="Times New Roman" w:hAnsi="Times New Roman" w:cs="Times New Roman"/>
                <w:highlight w:val="none"/>
              </w:rPr>
            </w:pPr>
            <w:r>
              <w:rPr>
                <w:rFonts w:ascii="Times New Roman" w:hAnsi="Times New Roman" w:cs="Times New Roman"/>
                <w:sz w:val="24"/>
                <w:szCs w:val="24"/>
              </w:rPr>
            </w:r>
            <w:r>
              <w:rPr>
                <w:rFonts w:ascii="Times New Roman" w:hAnsi="Times New Roman" w:cs="Times New Roman"/>
                <w:highlight w:val="none"/>
              </w:rPr>
            </w:r>
            <w:r>
              <w:rPr>
                <w:rFonts w:ascii="Times New Roman" w:hAnsi="Times New Roman" w:cs="Times New Roman"/>
                <w:highlight w:val="none"/>
              </w:rP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7,356</w:t>
            </w:r>
            <w:r>
              <w:rPr>
                <w:rFonts w:ascii="Times New Roman" w:hAnsi="Times New Roman" w:cs="Times New Roman"/>
              </w:rPr>
            </w:r>
            <w:r>
              <w:rPr>
                <w:rFonts w:ascii="Times New Roman" w:hAnsi="Times New Roman" w:cs="Times New Roman"/>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12 368 677,62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618 433,88</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6 184 339</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«13» января 2026 г. № 2.</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r>
          <w:rPr>
            <w:highlight w:val="none"/>
          </w:rPr>
        </w:r>
        <w:r>
          <w:rPr>
            <w:rFonts w:ascii="Times New Roman" w:hAnsi="Times New Roman" w:cs="Times New Roman"/>
            <w:sz w:val="28"/>
            <w:szCs w:val="28"/>
          </w:rPr>
          <w:t xml:space="preserve">от 29 апреля 2008 г. № 57-ФЗ</w:t>
        </w:r>
        <w:r>
          <w:rPr>
            <w:rFonts w:ascii="Times New Roman" w:hAnsi="Times New Roman" w:cs="Times New Roman"/>
            <w:sz w:val="28"/>
            <w:szCs w:val="28"/>
          </w:rPr>
        </w:r>
      </w:hyperlink>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об аукционе,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спизулы в подзоне</w:t>
        <w:br/>
        <w:t xml:space="preserve"> Приморье в р</w:t>
      </w:r>
      <w:r>
        <w:rPr>
          <w:rFonts w:ascii="Times New Roman" w:hAnsi="Times New Roman" w:eastAsia="Times New Roman" w:cs="Times New Roman"/>
          <w:b/>
          <w:bCs/>
          <w:color w:val="auto"/>
        </w:rPr>
        <w:t xml:space="preserve">азмере 7,356%</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7. Срок  действия настоящего Договора  </w:t>
      </w:r>
      <w:r>
        <w:rPr>
          <w:rFonts w:ascii="Times New Roman" w:hAnsi="Times New Roman" w:cs="Times New Roman"/>
          <w:sz w:val="28"/>
          <w:szCs w:val="28"/>
        </w:rPr>
        <w:t xml:space="preserve">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57</cp:revision>
  <dcterms:created xsi:type="dcterms:W3CDTF">2023-11-16T08:14:00Z</dcterms:created>
  <dcterms:modified xsi:type="dcterms:W3CDTF">2026-01-14T06:33:49Z</dcterms:modified>
</cp:coreProperties>
</file>