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«24</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5</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Спизула</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7,356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11 131 810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556 590,50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5 565 905</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«13» марта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«24» февраля 2026 г. № 87.</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«26» февраля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«13» марта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«13» марта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«16» марта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спизулы в подзоне</w:t>
        <w:br/>
        <w:t xml:space="preserve"> Приморье в р</w:t>
      </w:r>
      <w:r>
        <w:rPr>
          <w:rFonts w:ascii="Times New Roman" w:hAnsi="Times New Roman" w:eastAsia="Times New Roman" w:cs="Times New Roman"/>
          <w:b/>
          <w:bCs/>
          <w:color w:val="auto"/>
        </w:rPr>
        <w:t xml:space="preserve">азмере 7,356%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60</cp:revision>
  <dcterms:created xsi:type="dcterms:W3CDTF">2023-11-16T08:14:00Z</dcterms:created>
  <dcterms:modified xsi:type="dcterms:W3CDTF">2026-02-25T09:07:24Z</dcterms:modified>
</cp:coreProperties>
</file>